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958/2023 vom 27. November 2023</w:t>
      </w:r>
    </w:p>
    <w:p>
      <w:r>
        <w:t>Bundesgericht, 2023-11-27, FR</w:t>
      </w:r>
    </w:p>
    <w:p>
      <w:r>
        <w:rPr>
          <w:b/>
        </w:rPr>
        <w:t xml:space="preserve">Quelle: </w:t>
      </w:r>
      <w:r>
        <w:t>https://mcp.opencaselaw.ch/entscheid/bger_6B_958_2023</w:t>
      </w:r>
    </w:p>
    <w:p>
      <w:r>
        <w:t>FR: TF 6B 958/2023 du 27 novembre 2023</w:t>
      </w:r>
    </w:p>
    <w:p>
      <w:r>
        <w:t>IT: TF 6B 958/2023 del 27 novembre 2023</w:t>
      </w:r>
    </w:p>
    <w:p>
      <w:pPr>
        <w:pStyle w:val="Heading2"/>
      </w:pPr>
      <w:r>
        <w:t>Regeste</w:t>
      </w:r>
    </w:p>
    <w:p>
      <w:r>
        <w:t>Tentative d'extorsion et chantage, dénonciation calomnieuse | Infractions</w:t>
      </w:r>
    </w:p>
    <w:p>
      <w:pPr>
        <w:pStyle w:val="Heading2"/>
      </w:pPr>
      <w:r>
        <w:t>Erwägungen</w:t>
      </w:r>
    </w:p>
    <w:p>
      <w:r>
        <w:rPr>
          <w:b/>
        </w:rPr>
        <w:t>E. 1</w:t>
      </w:r>
    </w:p>
    <w:p>
      <w:r>
        <w:t>Par jugement du 26 septembre 2022, le Tribunal correctionnel de l'arrondissement de l'Est vaudois a notamment libéré par défaut A.________ de l'infraction d'instigation à dommages à la propriété, l'a condamné par défaut pour instigation à vol, instigation à dommages à la propriété, escroquerie par métier, tentative d'extorsion et chantage, menaces, instigation à violation de domicile, dénonciation calomnieuse et infraction à la loi fédérale sur les armes, à une peine privative de liberté de 42 mois, sous déduction de 263 jours de détention provisoire et de 407 jours de détention en exécution anticipée de peine. Après avoir renoncé à demander un nouveau jugement en contradictoire, A.________ a, par son défenseur d'office, par annonce du 29 septembre 2022, puis déclaration motivée du 8 novembre 2022, interjeté appel contre ce jugement.</w:t>
      </w:r>
    </w:p>
    <w:p>
      <w:r>
        <w:rPr>
          <w:b/>
        </w:rPr>
        <w:t>E. 2</w:t>
      </w:r>
    </w:p>
    <w:p>
      <w:r>
        <w:t>Par jugement du 24 mars 2023, la Cour d'appel pénale du Tribunal cantonal vaudois a rejeté l'appel de A.________ et a confirmé le jugement de première instance.</w:t>
      </w:r>
    </w:p>
    <w:p>
      <w:r>
        <w:rPr>
          <w:b/>
        </w:rPr>
        <w:t>E. 3</w:t>
      </w:r>
    </w:p>
    <w:p>
      <w:r>
        <w:t>A.________ forme un recours en matière pénale au Tribunal fédéral contre le jugement rendu le 24 mars 2023 par la Cour d'appel pénale du Tribunal cantonal vaudois. Il conclut en substance à être libéré des chefs de prévention de tentative d'extorsion et chantage et de dénonciation calomnieuse, et au prononcé d'une peine de 36 mois dont 12 mois avec sursis, sous déduction de la détention provisoire et de la détention en exécution anticipée déjà subie. Il sollicite en outre le bénéfice de l'assistance judiciaire.</w:t>
      </w:r>
    </w:p>
    <w:p>
      <w:r>
        <w:rPr>
          <w:b/>
        </w:rPr>
        <w:t>E. 4</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5</w:t>
      </w:r>
    </w:p>
    <w:p>
      <w:r>
        <w:t>En l'espèce, le recourant développe une argumentation par laquelle il discute, sur différents points, certains éléments de l'instruction et s'en prend aux constatations de faits ressortant du jugement attaqué. La discussion qu'il esquisse, notamment lorsqu'il évoque un courrier qui lui aurait été attribué à tort, s'épuise toutefois dans une discussion libre et appellatoire, partant irrecevable, des constatations cantonales. De même le recourant échoue-t-il à exposer à satisfaction de droit, lorsqu'il évoque des plaintes non traitées, en quoi la cour cantonale aurait versé dans l'arbitraire concernant les faits ayant conduit les juges précédents à retenir à son encontre une tentative d'instigation à vol. Au surplus, le recourant ne soulève aucune critique topique ou motivée à satisfaction de droit destinée à exposer en quoi la cour cantonale aurait violé le droit fédéral. Il s'ensuit que le recours ne satisfait manifestement pas aux exigences de motivation d'un recours en matière pénale (cf. art. 42 al. 2 et 106 al. 2 LTF).</w:t>
      </w:r>
    </w:p>
    <w:p>
      <w:r>
        <w:rPr>
          <w:b/>
        </w:rPr>
        <w:t>E. 6</w:t>
      </w:r>
    </w:p>
    <w:p>
      <w:r>
        <w:t>Au vu de ce qui précède, le recours est irrecevable, ce qu'il convient de constater dans la procédure prévue par l' art. 108 al. 1 let. b LTF . Le recours était dépourvu de chances de succès, ce qui conduit au refus de l'assistance judiciaire ( art. 64 al. 1 et 3 LTF ). 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