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957/2022 vom 23. August 2022</w:t>
      </w:r>
    </w:p>
    <w:p>
      <w:r>
        <w:t>Bundesgericht, 2022-08-23, DE</w:t>
      </w:r>
    </w:p>
    <w:p>
      <w:r>
        <w:rPr>
          <w:b/>
        </w:rPr>
        <w:t xml:space="preserve">Quelle: </w:t>
      </w:r>
      <w:r>
        <w:t>https://mcp.opencaselaw.ch/entscheid/bger_6B_957_2022</w:t>
      </w:r>
    </w:p>
    <w:p>
      <w:r>
        <w:t>FR: TF 6B 957/2022 du 23 août 2022</w:t>
      </w:r>
    </w:p>
    <w:p>
      <w:r>
        <w:t>IT: TF 6B 957/2022 del 23 agosto 2022</w:t>
      </w:r>
    </w:p>
    <w:p>
      <w:pPr>
        <w:pStyle w:val="Heading2"/>
      </w:pPr>
      <w:r>
        <w:t>Regeste</w:t>
      </w:r>
    </w:p>
    <w:p>
      <w:r>
        <w:t>Nichtanhandnahme (mehrfache Korruption, Amtsmissbrauch); Nichteintreten | Strafprozess</w:t>
      </w:r>
    </w:p>
    <w:p>
      <w:pPr>
        <w:pStyle w:val="Heading2"/>
      </w:pPr>
      <w:r>
        <w:t>Erwägungen</w:t>
      </w:r>
    </w:p>
    <w:p>
      <w:r>
        <w:rPr>
          <w:b/>
        </w:rPr>
        <w:t>E. 1</w:t>
      </w:r>
    </w:p>
    <w:p>
      <w:r>
        <w:t>Der Beschwerdeführer erstattete mit Schreiben vom 2. Februar 2022 und unter Hinweis auf eine Eingabe vom 25. November 2021 bei der Bundesanwaltschaft Strafanzeige gegen einen Zürcher Oberrichter und gegen unbekannte Täterschaft wegen mehrfacher Korruption und Amtsmissbrauchs. Die beiden Schreiben wurden zuständigkeitshalber via die Oberstaatsanwaltschaft des Kantons Zürich an die Staatsanwaltschaft II des Kantons Zürich überwiesen, welche am 1. April 2022 eine Strafuntersuchung nicht an die Hand nahm. Eine dagegen gerichtete Beschwerde wies das Obergericht des Kantons Zürich am 24. Mai 2022 ab. Mit Verfügung vom selben Tag wurde auch das Gesuch um unentgeltliche Rechtspflege abgewiesen. Der Beschwerdeführer wendet sich an das Bundesgericht.</w:t>
      </w:r>
    </w:p>
    <w:p>
      <w:r>
        <w:rPr>
          <w:b/>
        </w:rPr>
        <w:t>E. 2</w:t>
      </w:r>
    </w:p>
    <w:p>
      <w:r>
        <w:t>Der Beschwerdeführer beantragt, persönlich vorzusprechen bzw. an der öffentlichen Verhandlung persönlich teilzunehmen. Zudem verlangt er die Teilnahme von Medien, inkl. alternativer Medien. Für eine mündliche Parteiverhandlung, die gemäss Art. 57 BGG nur ausnahmsweise angeordnet wird, besteht indessen kein Anlass. Die Sache ist auch ohne Anhörung spruchreif. Die Beschwerde wird auf dem Wege der Aktenzirkulation behandelt ( Art. 58 Abs. 2 BGG ).</w:t>
      </w:r>
    </w:p>
    <w:p>
      <w:r>
        <w:rPr>
          <w:b/>
        </w:rPr>
        <w:t>E. 3</w:t>
      </w:r>
    </w:p>
    <w:p>
      <w:r>
        <w:t>Gemäss Art. 42 Abs. 1 BGG haben Rechtsschriften ein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der Legitimation strenge Anforderungen ( BGE 141 IV 1 E. 1.1 mit Hinweisen). 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w:t>
      </w:r>
    </w:p>
    <w:p>
      <w:r>
        <w:rPr>
          <w:b/>
        </w:rPr>
        <w:t>E. 4</w:t>
      </w:r>
    </w:p>
    <w:p>
      <w:r>
        <w:t>Die Eingabe genügt nicht den gesetzlichen Begründungsanforderungen. Eine substanziierte Auseinandersetzung mit den Erwägungen der Vorinstanz fehlt. Den Ausführungen in der Beschwerde auch vor Bundesgericht lässt sich nichts entnehmen, was auch nur einigermassen konkret und nachvollziehbar auf ein strafbares Verhalten des Beschuldigten oder einer weiteren Täterschaft hindeuten würde. Der Beschwerdeführer zeigt auch nicht im Geringsten eine Verletzung von Parteirechten durch die Vorinstanz auf, die eine formelle Rechtsverweigerung darstellen könnte. Stattdessen unterstellt er dem Obergericht des Kantons Zürich bzw. der Vorinstanz in pauschaler Weise Willkür, "Vetterliwirtschaft" und Korruption. Mit blossen Unterstellungen und Behauptungen lassen sich Verfassungsverletzungen allerdings nicht begründen. Zudem äussert sich der Beschwerdeführer auch nicht ansatzweise zu seiner Legitimation als Privatkläger im Sinne von Art. 81 Abs. 1 lit. b Ziff. 5 BGG, die im Übrigen auch nicht gegeben ist, weil sich allfällige Schadenersatz- und Genugtuungsansprüche gegen den beschuldigten Oberrichter nach dem Haftungsgesetz des Kantons Zürich vom 14. September 1969 beurteilten (vgl. § 6 Abs. 1 i.V.m. § 1 Abs. 1 HG/ZH und § 6 Abs. 4 HG/ZH [LS 170.1]) und damit öffentlich-rechtlicher Natur sind. Öffentlich-rechtliche Ansprüche, auch solche aus Staatshaftungsrecht, können nicht adhäsionsweise im Strafprozess geltend gemacht werden und zählen nicht zu den Zivilansprüchen im Sinne von Art. 81 Abs. 1 lit. b Ziff. 5 BGG.</w:t>
      </w:r>
    </w:p>
    <w:p>
      <w:r>
        <w:rPr>
          <w:b/>
        </w:rPr>
        <w:t>E. 5</w:t>
      </w:r>
    </w:p>
    <w:p>
      <w:r>
        <w:t>Auf die Beschwerde ist mangels tauglicher Begründung und mangels Legitimation im Verfahren nach Art. 108 BGG nicht einzutreten. Das Gesuch um unentgeltliche Rechtspflege ist wegen Aussichtslosigkeit abzuweisen ( Art. 64 Abs. 1 BGG ), wobei der Antrag auf Beigabe eines unentgeltlichen Rechtsanwalts schon deshalb ins Leere stösst, weil er erst unmittelbar vor Ablauf der gesetzlich nicht erstreckbaren Beschwerdefrist gestellt wurde. Dem Beschwerdeführer sind reduzierte Gerichtskosten aufzuerlegen (Art. 66 Abs. 1 i.V.m. Art. 65 Abs. 2 BGG ). Die Ausrichtung von Entschädigungen fällt ohne Weiteres ausser Betracht.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