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955/2023 vom 9. Oktober 2023</w:t>
      </w:r>
    </w:p>
    <w:p>
      <w:r>
        <w:t>Bundesgericht, 2023-10-09, FR</w:t>
      </w:r>
    </w:p>
    <w:p>
      <w:r>
        <w:rPr>
          <w:b/>
        </w:rPr>
        <w:t xml:space="preserve">Quelle: </w:t>
      </w:r>
      <w:r>
        <w:t>https://mcp.opencaselaw.ch/entscheid/bger_6B_955_2023</w:t>
      </w:r>
    </w:p>
    <w:p>
      <w:r>
        <w:t>FR: TF 6B 955/2023 du 9 octobre 2023</w:t>
      </w:r>
    </w:p>
    <w:p>
      <w:r>
        <w:t>IT: TF 6B 955/2023 del 9 ottobre 2023</w:t>
      </w:r>
    </w:p>
    <w:p>
      <w:pPr>
        <w:pStyle w:val="Heading2"/>
      </w:pPr>
      <w:r>
        <w:t>Regeste</w:t>
      </w:r>
    </w:p>
    <w:p>
      <w:r>
        <w:t>Irrecevabilité du recours en matière pénale; défaut d'avance de frais (escroquerie par métier, fixation de la peine, expulsion) | Infractions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après un premier non-paiement, son recours est irrecevable ( art. 62 al. 3 LTF ). Invité à avancer les frais de la procédure (3000 fr.) par ordonnances des 7 août et 6 septembre 2023 (avec l'indication des conséquences prévues par l' art. 62 al. 3 LTF ), le recourant ne s'en est pas acquitté et n'a pas requis le bénéfice de l'assistance judiciaire.</w:t>
      </w:r>
    </w:p>
    <w:p>
      <w:r>
        <w:rPr>
          <w:b/>
        </w:rPr>
        <w:t>E. 2</w:t>
      </w:r>
    </w:p>
    <w:p>
      <w:r>
        <w:t>L'irrecevabilité manifeste du recours doit être constatée dans la procédure prévue par l' art. 108 al. 1 let. a LTF , frais à charge du recourant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