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6B_954/2022 vom 29. September 2022</w:t>
      </w:r>
    </w:p>
    <w:p>
      <w:r>
        <w:t>Bundesgericht, 2022-09-29, FR</w:t>
      </w:r>
    </w:p>
    <w:p>
      <w:r>
        <w:rPr>
          <w:b/>
        </w:rPr>
        <w:t xml:space="preserve">Quelle: </w:t>
      </w:r>
      <w:r>
        <w:t>https://mcp.opencaselaw.ch/entscheid/bger_6B_954_2022</w:t>
      </w:r>
    </w:p>
    <w:p>
      <w:r>
        <w:t>FR: TF 6B_954/2022 du 29 septembre 2022</w:t>
      </w:r>
    </w:p>
    <w:p>
      <w:r>
        <w:t>IT: TF 6B_954/2022 del 29 settembre 2022</w:t>
      </w:r>
    </w:p>
    <w:p>
      <w:pPr>
        <w:pStyle w:val="Heading2"/>
      </w:pPr>
      <w:r>
        <w:t>Erwägungen</w:t>
      </w:r>
    </w:p>
    <w:p>
      <w:r>
        <w:rPr>
          <w:b/>
        </w:rPr>
        <w:t>E. 1</w:t>
      </w:r>
    </w:p>
    <w:p>
      <w:r>
        <w:t>Par arrêt du 4 août 2022, la Chambre pénale de recours de la Cour de justice de la République et canton de Genève a rejeté le recours formé par A.________ contre l'ordonnance du 3 mai 2022 par laquelle le Ministère public genevois a refusé d'entrer en matière sur la plainte déposée par le prénommé contre B.________ notamment pour voies de fait, contrainte, séquestration et usurpation de fonction.</w:t>
      </w:r>
    </w:p>
    <w:p>
      <w:r>
        <w:t>A.________ forme un recours en matière pénale au Tribunal fédéral contre l'arrêt précité. Il conclut, avec suite de frais et dépens, à son annulation et à celle de l'ordonnance de non-entrée en matière du 3 mai 2022, au renvoi de la procédure au ministère public pour ouverture d'une instruction et jonction avec une autre procédure qu'il cite. Il requiert, par ailleurs, l'octroi de l'assistance judiciaire.</w:t>
      </w:r>
    </w:p>
    <w:p>
      <w:r>
        <w:rPr>
          <w:b/>
        </w:rPr>
        <w:t>E. 2</w:t>
      </w:r>
    </w:p>
    <w:p>
      <w:r>
        <w:t>Dans la mesure où les pièces produites par le recourant ne figureraient pas déjà à la procédure, elles sont nouvelles, partant irrecevables ( art. 99 al. 1 LTF ).</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3.2</w:t>
      </w:r>
    </w:p>
    <w:p>
      <w:r>
        <w:t>Le recourant ne consacre aucun développement à son éventuel dommage ou tort moral, ni sur leur principe, ni sur leur quotité. Invoquant des infractions distinctes, il n'indique en outre pas, par rapport à chacune d'elles, en quoi consisterait le dommage ou le tort moral en résultant. L'absence d'explications sur la question des prétentions civiles exclut sa qualité pour recourir sur le fond de la cause.</w:t>
      </w:r>
    </w:p>
    <w:p>
      <w:r>
        <w:rPr>
          <w:b/>
        </w:rPr>
        <w:t>E. 3.3</w:t>
      </w:r>
    </w:p>
    <w:p>
      <w:r>
        <w:t>L'hypothèse visée à l'art. 81 al. 1 let. b ch. 6 LTF n'entre pas en considération, le recourant ne soulevant aucun grief quant à son droit de porter plainte.</w:t>
      </w:r>
    </w:p>
    <w:p>
      <w:r>
        <w:rPr>
          <w:b/>
        </w:rPr>
        <w:t>E. 3.4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Tel n'est pas le cas en l'espèce.</w:t>
      </w:r>
    </w:p>
    <w:p>
      <w:r>
        <w:rPr>
          <w:b/>
        </w:rPr>
        <w:t>E. 4</w:t>
      </w:r>
    </w:p>
    <w:p>
      <w:r>
        <w:t>Faute de satisfaire aux conditions de recevabilité d'un recours en matière pénale au Tribunal fédéral ( art. 42 al. 1 et 2 LTF ), le recours doit être écarté en application de l' art. 108 al. 1 let. a et b LTF . Il était d'emblée dénué de chance de succès. L'assistance judiciaire doit être refusée pour ce motif ( art. 64 al. 1 et 2 LTF ). Le recourant, qui succombe, supporte les frais judiciaires, qui seront fixés en tenant compte de sa situation financière qui n'apparaît pas favorable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