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6B_954/2018 vom 23. Oktober 2018</w:t>
      </w:r>
    </w:p>
    <w:p>
      <w:r>
        <w:t>Bundesgericht, 2018-10-23, DE</w:t>
      </w:r>
    </w:p>
    <w:p>
      <w:r>
        <w:rPr>
          <w:b/>
        </w:rPr>
        <w:t xml:space="preserve">Quelle: </w:t>
      </w:r>
      <w:r>
        <w:t>https://mcp.opencaselaw.ch/entscheid/bger_6B_954_2018</w:t>
      </w:r>
    </w:p>
    <w:p>
      <w:r>
        <w:t>FR: TF 6B_954/2018 du 23 octobre 2018</w:t>
      </w:r>
    </w:p>
    <w:p>
      <w:r>
        <w:t>IT: TF 6B_954/2018 del 23 ottobre 2018</w:t>
      </w:r>
    </w:p>
    <w:p>
      <w:pPr>
        <w:pStyle w:val="Heading2"/>
      </w:pPr>
      <w:r>
        <w:t>Erwägungen</w:t>
      </w:r>
    </w:p>
    <w:p>
      <w:r>
        <w:rPr>
          <w:b/>
        </w:rPr>
        <w:t>E. 1</w:t>
      </w:r>
    </w:p>
    <w:p>
      <w:r>
        <w:t>Die Staatsanwaltschaft des Kantons Zürich stellte das Strafverfahren gegen den Beschwerdeführer wegen Vergewaltigung, Drohung, Nötigung und Tätlichkeiten mit Verfügung vom 16. Februar 2018 ein. Das Obergericht des Kantons Zürich hiess die von der Privatklägerin dagegen erhobene Beschwerde mit Beschluss vom 17. September 2018 gut; es hob die Einstellungsverfügung vom 16. Februar 2018 auf und wies die Sache an die Staatsanwaltschaft zurück.</w:t>
      </w:r>
    </w:p>
    <w:p>
      <w:r>
        <w:t>Der Beschwerdeführer gelangt dagegen mit Beschwerde in Strafsachen an das Bundesgericht.</w:t>
      </w:r>
    </w:p>
    <w:p>
      <w:r>
        <w:rPr>
          <w:b/>
        </w:rPr>
        <w:t>E. 2</w:t>
      </w:r>
    </w:p>
    <w:p>
      <w:r>
        <w:t>Beim angefochtenen Entscheid handelt es sich um einen Zwischenentscheid, der das Strafverfahren gegen den Beschwerdeführer nicht abschliesst, sondern im Gegenteil dessen Fortführung bewirkt.</w:t>
      </w:r>
    </w:p>
    <w:p>
      <w:r>
        <w:t>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Der Beschwerdeführer äussert sich nicht zu den Eintretensvoraussetzungen von Art. 93 Abs. 1 BGG . Weder behauptet er, der angefochtene Beschluss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dem Beschwerdeführer aufzuerlegen ( Art. 66 Abs. 1 BGG ). Dessen Gesuch um unentgeltliche Rechtspflege ist zufolge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