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6B_954/2009 vom 14. Januar 2010</w:t>
      </w:r>
    </w:p>
    <w:p>
      <w:r>
        <w:t>Bundesgericht, 2010-01-14, DE</w:t>
      </w:r>
    </w:p>
    <w:p>
      <w:r>
        <w:rPr>
          <w:b/>
        </w:rPr>
        <w:t xml:space="preserve">Quelle: </w:t>
      </w:r>
      <w:r>
        <w:t>https://mcp.opencaselaw.ch/entscheid/bger_6B_954_2009</w:t>
      </w:r>
    </w:p>
    <w:p>
      <w:r>
        <w:t>FR: TF 6B_954/2009 du 14 janvier 2010</w:t>
      </w:r>
    </w:p>
    <w:p>
      <w:r>
        <w:t>IT: TF 6B_954/2009 del 14 gennaio 2010</w:t>
      </w:r>
    </w:p>
    <w:p>
      <w:pPr>
        <w:pStyle w:val="Heading2"/>
      </w:pPr>
      <w:r>
        <w:t>Erwägungen</w:t>
      </w:r>
    </w:p>
    <w:p>
      <w:r>
        <w:rPr>
          <w:b/>
        </w:rPr>
        <w:t>E. 1.1</w:t>
      </w:r>
    </w:p>
    <w:p>
      <w:r>
        <w:t>Der Beschwerdeführer wurde vom Bezirksgericht für die Übertretung von Art. 19a BetmG mit 200 Franken gebüsst. Die Busse trat unangefochten in Rechtskraft. Auf den die Busse betreffenden Antrag ist nicht einzutreten.</w:t>
      </w:r>
    </w:p>
    <w:p>
      <w:r>
        <w:rPr>
          <w:b/>
        </w:rPr>
        <w:t>E. 1.2</w:t>
      </w:r>
    </w:p>
    <w:p>
      <w:r>
        <w:t>Das Bundesgericht prüft die Verletzung von Grundrechten nur insofern, als eine solche Rüge in der Beschwerde präzise vorgebracht und begründet worden ist ( Art. 106 Abs. 2 BGG ). Es gilt eine qualifizierte Rügepflicht im Sinne der früheren Vorschrift von Art. 90 Abs. 1 lit. b aOG ( BGE 134 I 83 E. 3.2; 133 IV 286 E. 1.4). Diesen Begründungsanforderungen genügt die behauptete Verletzung von Art. 8 und 9 BV nicht. Darauf ist nicht einzutreten. Im Übrigen sind Willkürverbot und Gleichbehandlungsgebot im Strafzumessungsrecht konkretisiert.</w:t>
      </w:r>
    </w:p>
    <w:p>
      <w:r>
        <w:rPr>
          <w:b/>
        </w:rPr>
        <w:t>E. 2</w:t>
      </w:r>
    </w:p>
    <w:p>
      <w:r>
        <w:t>Der Beschwerdeführer rügt, die Vorinstanz habe eine unvertretbar harte Strafe ausgefällt und damit Art. 47 StGB verletzt.</w:t>
      </w:r>
    </w:p>
    <w:p>
      <w:r>
        <w:rPr>
          <w:b/>
        </w:rPr>
        <w:t>E. 2.1</w:t>
      </w:r>
    </w:p>
    <w:p>
      <w:r>
        <w:t>Die Vorinstanz führt aus, es sei erschreckend, mit welcher Uneinsicht und absoluten Gleichgültigkeit sich der Beschwerdeführer immer wieder strafbar mache. Seit seiner Heirat mit einer Schweizer Bürgerin im August 2005 sei er im Raum Zürich als "Kügelidealer" aktiv und habe innert weniger als zweieinhalb Jahren acht einschlägige Verurteilungen erwirkt. Eine derartige Geringschätzung des Gesetzes suche Seinesgleichen.</w:t>
      </w:r>
    </w:p>
    <w:p>
      <w:r>
        <w:t>Einschlägig bestraft worden sei er bei vergleichbarer Tatschwere zunächst zweimal mit 60 Tagen Gefängnis (das erste Mal bedingt, dann unbedingt), sodann mit 90 Tagen Gefängnis und das vierte Mal am 17. November 2006 mit 5 Monaten Gefängnis. Anschliessend sei er unverständlich milde mit 15 Tagen Freiheitsstrafe (Strafbefehl vom 6. März 2008), dann mit 90 Tagessätzen Geldstrafe und bei der siebten Verurteilung mit 84 Stunden gemeinnütziger Arbeit (21 Tagen Freiheitsstrafe entsprechend) bestraft worden.</w:t>
      </w:r>
    </w:p>
    <w:p>
      <w:r>
        <w:t>Die neue Strafe für den vierten Rückfall seit dem Urteil vom November 2006 müsse deutlich über den damals ausgesprochenen 5 Monaten liegen. Angemessen erschienen 12 Monate Freiheitsstrafe. Reue und Einsicht zeige er keine, ausser der wenig glaubhaften Beteuerung, es sei das letzte Mal gewesen. Wegen des Nachtatverhaltens sei die Freiheitsstrafe auf 10 Monate festzusetzen.</w:t>
      </w:r>
    </w:p>
    <w:p>
      <w:r>
        <w:rPr>
          <w:b/>
        </w:rPr>
        <w:t>E. 2.2</w:t>
      </w:r>
    </w:p>
    <w:p>
      <w:r>
        <w:t>Gemäss Art. 47 Abs. 1 StGB misst das Gericht die Strafe nach dem Verschulden des Täters zu. Es berücksichtigt das Vorleben und die persönlichen Verhältnisse sowie die Wirkung der Strafe auf das Leben des Täters. Das Vorleben und insbesondere die Vorstrafen haben einen zentralen Stellenwert bei der Strafzumessung ( BGE 135 IV 87 E. 2.3). Vorliegend geht der Strafrahmen von Geldstrafe bis zu drei Jahren Freiheitsstrafe ( Art. 19 Ziff. 1 Abs. 9 BetmG ).</w:t>
      </w:r>
    </w:p>
    <w:p>
      <w:r>
        <w:t>Die Vorinstanz verkennt nicht, dass die objektive Tatschwere der zu beurteilenden Einzeltat die Höhe der Freiheitsstrafe nicht zu rechtfertigen vermöchte. Zutreffend gewichtet sie aber die Renitenz, den erneut manifestierten unveränderten Tatwillen und die zahlreichen einschlägigen Vorstrafen erheblich straferhöhend (vgl. BGE 121 IV 49 E. 2d/cc S. 62; GÜNTER STRATENWERTH, Schweizerisches Strafrecht, Allgemeiner Teil II, 2. Auflage, Bern 2006, S. 193). Der Beschwerdeführer treibt mit seiner kalkulierten "Kügelidealerei" sein Spiel mit Polizei und Strafjustiz. Er nimmt sie nicht ernst. Strafverfahren beeindrucken ihn nicht im Geringsten. Unbekümmert delinquierte er weiter. Das Strafmass liegt im vorinstanzlichen Ermessen ( BGE 134 IV 17 E. 2.1).</w:t>
      </w:r>
    </w:p>
    <w:p>
      <w:r>
        <w:rPr>
          <w:b/>
        </w:rPr>
        <w:t>E. 3</w:t>
      </w:r>
    </w:p>
    <w:p>
      <w:r>
        <w:t>Der Beschwerdeführer rügt, Art. 42 Abs. 1 StGB sei verletzt, denn die Vorinstanz habe eine unbedingte Strafe ausgesprochen, obschon von Gesetzes wegen eine gute Prognose zu vermuten sei und ihm auch eine gute Prognose gestellt werden könne.</w:t>
      </w:r>
    </w:p>
    <w:p>
      <w:r>
        <w:t>Gemäss Art 42 Abs. 1 StGB schiebt das Gericht den Vollzug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 BGE 134 IV 1 E. 4.2.2). Bereits in der bisherigen Praxis spielte die kriminelle Vorbelastung die grösste Rolle bei der Prognose künftigen Legalverhaltens (STRATENWERTH, a.a.O., S. 133). Allerdings schliessen einschlägige Vorstrafen den bedingten Vollzug nicht notwendigerweise aus (ROLAND M. SCHNEIDER/ROY GARRÉ, Strafrecht I, Basler Kommentar, 2. Auflage, Basel 2007, Art. 42 N 59 ). Es ist eine Gesamtwürdigung vorzunehmen.</w:t>
      </w:r>
    </w:p>
    <w:p>
      <w:r>
        <w:t>Die Voraussetzungen für den bedingten Vollzug der Freiheitsstrafe sind offenkundig nicht gegeben (oben E. 2.2 a.E.).</w:t>
      </w:r>
    </w:p>
    <w:p>
      <w:r>
        <w:rPr>
          <w:b/>
        </w:rPr>
        <w:t>E. 4</w:t>
      </w:r>
    </w:p>
    <w:p>
      <w:r>
        <w:t>Die Beschwerde ist abzuweisen, soweit darauf einzutreten ist. Das Gesuch um unentgeltliche Rechtspflege ist abzuweisen. Eine Bedürftigkeit ist nicht nachgewiesen ( Art. 64 Abs. 1 BGG ; BGE 125 IV 161 E. 4a).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