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952/2010 vom 12. November 2010</w:t>
      </w:r>
    </w:p>
    <w:p>
      <w:r>
        <w:t>Bundesgericht, 2010-11-12, FR</w:t>
      </w:r>
    </w:p>
    <w:p>
      <w:r>
        <w:rPr>
          <w:b/>
        </w:rPr>
        <w:t xml:space="preserve">Quelle: </w:t>
      </w:r>
      <w:r>
        <w:t>https://mcp.opencaselaw.ch/entscheid/bger_6B_952_2010</w:t>
      </w:r>
    </w:p>
    <w:p>
      <w:r>
        <w:t>FR: TF 6B 952/2010 du 12 novembre 2010</w:t>
      </w:r>
    </w:p>
    <w:p>
      <w:r>
        <w:t>IT: TF 6B 952/2010 del 12 novembre 2010</w:t>
      </w:r>
    </w:p>
    <w:p>
      <w:pPr>
        <w:pStyle w:val="Heading2"/>
      </w:pPr>
      <w:r>
        <w:t>Regeste</w:t>
      </w:r>
    </w:p>
    <w:p>
      <w:r>
        <w:t>Tentative de viol et pornographie | Infractions</w:t>
      </w:r>
    </w:p>
    <w:p>
      <w:pPr>
        <w:pStyle w:val="Heading2"/>
      </w:pPr>
      <w:r>
        <w:t>Erwägungen</w:t>
      </w:r>
    </w:p>
    <w:p>
      <w:r>
        <w:rPr>
          <w:b/>
        </w:rPr>
        <w:t>E. 1</w:t>
      </w:r>
    </w:p>
    <w:p>
      <w:r>
        <w:t>En vertu de l' art. 42 al. 1 et 2 LTF , le recourant doit, à peine d'irrecevabilité ( art. 108 al. 1 let. b LTF ), motiver son recours en exposant succinctement en quoi la décision attaquée viole le droit. Pour ce faire, il doit en principe se fonder sur les faits retenus par le juge précédent (cf. art. 97 LTF ). Il ne peut s'en écarter que s'il explique de manière circonstanciée en quoi ceux-ci ont été établis en violation du droit, au sens des art. 95 et 96 LTF , ou de façon manifestement inexacte, c'est-à-dire arbitraire (cf. arrêt 6B_178/2007 du 23 juillet 2007 consid. 1.2, non publié in ATF 133 IV 286 ). En l'espèce, à l'appui de ses conclusions, le recourant se borne à exposer sa version des faits, opposée à celle de l'arrêt attaqué, sans expliquer en quoi cette dernière serait arbitraire. Le Tribunal fédéral ne peut dès lors pas entrer en matière sur le recours, qui doit être écarté en application de l' art. 108 al. 1 let. b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