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6B_950/2014 vom 18. September 2015</w:t>
      </w:r>
    </w:p>
    <w:p>
      <w:r>
        <w:t>Bundesgericht, 2015-09-18, FR</w:t>
      </w:r>
    </w:p>
    <w:p>
      <w:r>
        <w:rPr>
          <w:b/>
        </w:rPr>
        <w:t xml:space="preserve">Quelle: </w:t>
      </w:r>
      <w:r>
        <w:t>https://mcp.opencaselaw.ch/entscheid/bger_6B_950_2014</w:t>
      </w:r>
    </w:p>
    <w:p>
      <w:r>
        <w:t>FR: TF 6B_950/2014 du 18 septembre 2015</w:t>
      </w:r>
    </w:p>
    <w:p>
      <w:r>
        <w:t>IT: TF 6B_950/2014 del 18 settembre 2015</w:t>
      </w:r>
    </w:p>
    <w:p>
      <w:pPr>
        <w:pStyle w:val="Heading2"/>
      </w:pPr>
      <w:r>
        <w:t>Erwägungen</w:t>
      </w:r>
    </w:p>
    <w:p>
      <w:r>
        <w:rPr>
          <w:b/>
        </w:rPr>
        <w:t>E. 1</w:t>
      </w:r>
    </w:p>
    <w:p>
      <w:r>
        <w:t>Le recourant reproche au Président de la Cour d'appel pénale d'avoir violé les art. 426 al. 2 et 398 al. 4 CPP. Il soutient qu'en l'absence d'instruction concernant ses agissements réels il n'était pas possible de mettre les frais à sa charge faute de faits incontestés ou clairement établis. Il conteste par ailleurs l'existence d'un lien de causalité entre son comportement et l'ouverture puis la poursuite de la procédure pénale.</w:t>
      </w:r>
    </w:p>
    <w:p>
      <w:r>
        <w:rPr>
          <w:b/>
        </w:rPr>
        <w:t>E. 1.1</w:t>
      </w:r>
    </w:p>
    <w:p>
      <w:r>
        <w:t>La procédure litigieuse concernait une infraction de droit cantonal. Il en résulte que le CPP n'est pas applicable directement (cf. art. 1 al. 1 CPP ). Il l'est à titre de droit cantonal supplétif (voir art. 30 de la loi vaudoise d'introduction du Code de procédure pénale suisse, RS/VD 312.01). L'application du droit cantonal, y compris le droit fédéral appliqué à titre de droit cantonal supplétif, est uniquement examinée par le Tribunal fédéral sous l'angle d'une violation de l'interdiction constitutionnelle de l'arbitraire (cf. ATF 138 V 67 consid. 2.2 p. 69). Il incombe à cet égard au recourant d'exposer une argumentation spécifique qui réponde aux exigences accrues de motivation déduites de l' art. 106 al. 2 LTF .</w:t>
      </w:r>
    </w:p>
    <w:p>
      <w:r>
        <w:rPr>
          <w:b/>
        </w:rPr>
        <w:t>E. 1.2</w:t>
      </w:r>
    </w:p>
    <w:p>
      <w:r>
        <w:t>Selon l' art. 426 al. 2 CPP , appliqué à titre supplétif,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w:t>
      </w:r>
    </w:p>
    <w:p>
      <w:r>
        <w:t>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 ATF 119 Ia 332 consid. 1b p. 334; 116 Ia 162 consid. 2c p. 168).</w:t>
      </w:r>
    </w:p>
    <w:p>
      <w:r>
        <w:t>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 art. 41 CO (ATF 119 la 332 consid. 1 b p. 334; 116 la 162 consid. 2c p. 169). Le fait reproché doit constituer une violation claire de la norme de comportement (ATF 119 la 332 consid. 1 b p. 334; 116 la 162 consid. 2d p. 171). En cas d'acquittement partiel, la jurisprudence a reconnu qu'une certaine marge d'appréciation devait être laissée à l'autorité parce qu'il est difficile de déterminer avec exactitude les frais qui relèvent de chaque fait imputable ou non au condamné (arrêts 6B_218/2013 du 13 juin 2013 consid. 5.2; 6B_45/2011 du 12 septembre 2011 consid. 3.1). Ce principe doit également valoir dans le cas où seule une partie des faits pour lesquels le poursuivi a bénéficié d'un acquittement constitue un comportement fautif contraire à une règle juridique.</w:t>
      </w:r>
    </w:p>
    <w:p>
      <w:r>
        <w:rPr>
          <w:b/>
        </w:rPr>
        <w:t>E. 1.3</w:t>
      </w:r>
    </w:p>
    <w:p>
      <w:r>
        <w:t>En l'espèce, le reproche fait au recourant est d'avoir pénétré sans autorisation dans deux classes du bâtiment scolaire de A.________, ce qu'il admet, contestant toutefois avoir dérangé les classes. Dans ces circonstances, il y a lieu de considérer les faits constatés comme suffisants et c'est en vain que le recourant reproche à l'autorité cantonale d'avoir fondé son raisonnement sur des faits contestés et non établis. La cour cantonale a considéré que l'art. 190 aRLS ne constituait pas une base légale suffisante pour fonder une condamnation pénale, faute en particulier de prévoir une sanction. En revanche, elle a admis que cette disposition permettait de retenir un comportement illicite du recourant. L'art. 190 aRLS, en vigueur au moment des faits, interdit à toute personne de s'introduire dans les bâtiments de l'école pour interrompre l'enseignant dans l'exercice de ses fonctions ou pour perturber la vie scolaire. Du seul fait qu'il soit entré dans les classes le recourant a forcément interrompu les enseignants. Ainsi, même si son but n'était pas de déranger les classes mais de prendre des rendez-vous avec les enseignants, ce qu'il pouvait parfaitement faire en dehors des heures d'enseignement, au cours d'une récréation par exemple, le recourant a contrevenu à la disposition en question. Il l'a fait alors même qu'il avait été mis en garde à deux reprises par le directeur de l'établissement scolaire. Son comportement était donc illicite et fautif. Tout du moins n'était-il pas arbitraire de le retenir. Le recourant est à l'origine de la présente procédure, de sorte que le président de la cour cantonale n'a pas appliqué de manière arbitraire le CPP à titre supplétif en mettant les frais de la procédure à sa charge.</w:t>
      </w:r>
    </w:p>
    <w:p>
      <w:r>
        <w:rPr>
          <w:b/>
        </w:rPr>
        <w:t>E. 2</w:t>
      </w:r>
    </w:p>
    <w:p>
      <w:r>
        <w:t>Le recourant soutient en outre que le président de la cour cantonale a violé l' art. 429 al. 1 let. a CPP en lui refusant toute indemnité.</w:t>
      </w:r>
    </w:p>
    <w:p>
      <w:r>
        <w:t>En vertu de l' art. 430 al. 1 let. a CPP , l'autorité pénale peut réduire ou refuser l'indemnité pour les dépenses occasionnées par l'exercice raisonnable de ses droits de procédure ( art. 429 al. 1 let. a CPP ) lorsque le prévenu a provoqué illicitement et fautivement l'ouverture de la procédure ou a rendu plus difficile la conduite de celle-ci.</w:t>
      </w:r>
    </w:p>
    <w:p>
      <w:r>
        <w:t>La question de l'indemnisation du prévenu ( art. 429 CPP ) doit être traitée en relation avec celle des frais ( art. 426 CPP ). Si le prévenu supporte les frais en application de l' art. 426 al. 1 ou 2 CPP , une indemnité est en règle générale exclue. En revanche, si l'Etat supporte les frais de la procédure pénale, le prévenu a en principe droit à une indemnité selon l' art. 429 CPP ( ATF 137 IV 352 consid. 2.4.2 p. 357).</w:t>
      </w:r>
    </w:p>
    <w:p>
      <w:r>
        <w:t>L'argumentation du recourant repose entièrement sur la prémisse que les frais de procédure ne devaient pas être mis à sa charge. Dès lors qu'au considérant précédent la cour de céans est parvenue à la conclusion inverse, son grief est irrecevable.</w:t>
      </w:r>
    </w:p>
    <w:p>
      <w:r>
        <w:rPr>
          <w:b/>
        </w:rPr>
        <w:t>E. 3</w:t>
      </w:r>
    </w:p>
    <w:p>
      <w:r>
        <w:t>Mal fondé, le recours doit être rejeté dans la mesure où il est recevable. Le recourant, qui succombe et dont la requête d'assistance judiciaire a été rejetée eu égard à sa situation financière, supportera les frais de justice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