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6B_950/2013 vom 10. Dezember 2013</w:t>
      </w:r>
    </w:p>
    <w:p>
      <w:r>
        <w:t>Bundesgericht, 2013-12-10, DE</w:t>
      </w:r>
    </w:p>
    <w:p>
      <w:r>
        <w:rPr>
          <w:b/>
        </w:rPr>
        <w:t xml:space="preserve">Quelle: </w:t>
      </w:r>
      <w:r>
        <w:t>https://mcp.opencaselaw.ch/entscheid/bger_6B_950_2013</w:t>
      </w:r>
    </w:p>
    <w:p>
      <w:r>
        <w:t>FR: TF 6B_950/2013 du 10 décembre 2013</w:t>
      </w:r>
    </w:p>
    <w:p>
      <w:r>
        <w:t>IT: TF 6B_950/2013 del 10 dicembre 2013</w:t>
      </w:r>
    </w:p>
    <w:p>
      <w:pPr>
        <w:pStyle w:val="Heading2"/>
      </w:pPr>
      <w:r>
        <w:t>Erwägungen</w:t>
      </w:r>
    </w:p>
    <w:p>
      <w:r>
        <w:rPr>
          <w:b/>
        </w:rPr>
        <w:t>E. 1</w:t>
      </w:r>
    </w:p>
    <w:p>
      <w:r>
        <w:t>Das Obergericht des Kantons Zürich verurteilte Y.________ im Berufungsverfahren am 22. August 2013 der mehrfachen Übertretung der Polizeiverordnung der Stadt Kloten wegen widerrechtlichen Aufstellens von Taxifahrzeugen und der Missachtung einer polizeilichen Anordnung zu einer Busse von Fr. 300.-- und sprach ihn vom Vorwurf der Verletzung der Verkehrsregeln (nicht berechtigtes Parkieren auf einem für gehbehinderte Personen reservierten Parkplatz) frei.</w:t>
      </w:r>
    </w:p>
    <w:p>
      <w:r>
        <w:t>Die vollständige schriftliche Urteilsausfertigung stellte es Y.________, dem Stadtrichteramt der Stadt Kloten und der Oberstaatsanwaltschaft des Kantons Zürich zu.</w:t>
      </w:r>
    </w:p>
    <w:p>
      <w:r>
        <w:rPr>
          <w:b/>
        </w:rPr>
        <w:t>E. 2</w:t>
      </w:r>
    </w:p>
    <w:p>
      <w:r>
        <w:t>Das Stadtrichteramt Kloten führt Beschwerde in Strafsachen und beantragt sinngemäss, das obergerichtliche Urteil aufzuheben und Y.________ wegen (einfacher) Verletzung der Verkehrsregeln zu verurteilen.</w:t>
      </w:r>
    </w:p>
    <w:p>
      <w:r>
        <w:rPr>
          <w:b/>
        </w:rPr>
        <w:t>E. 3.1</w:t>
      </w:r>
    </w:p>
    <w:p>
      <w:r>
        <w:t>Die Beschwerdeführerin hat am vorinstanzlichen Verfahren teilgenommen ( Art. 81 Abs. 1 lit. a BGG ). Fraglich ist, ob ihr wie der Staatsanwaltschaft das Beschwerderecht in Strafsachen (ohne Einschränkung) zusteht (vgl. Art. 81 Abs. 1 lit. b Ziff. 3 BGG; BGE 134 IV 36 E. 1.4).</w:t>
      </w:r>
    </w:p>
    <w:p>
      <w:r>
        <w:rPr>
          <w:b/>
        </w:rPr>
        <w:t>E. 3.2</w:t>
      </w:r>
    </w:p>
    <w:p>
      <w:r>
        <w:t>Grundsätzlich ist die Staatsanwaltschaft für die gleichmässige Durchsetzung des staatlichen Strafanspruchs verantwortlich ( Art. 16 Abs. 1 StPO ). Der Kanton Zürich hat die Verfolgung und Beurteilung von Übertretungen in Anwendung von Art. 17 Abs. 1 StPO den Statthalterämtern übertragen (§ 89 des Gesetzes über die Gerichts- und Behördenorganisation im Zivil- und Strafprozess des Kantons Zürich vom 10. Mai 2010 [GOG; LS/ZH 211.1]), die Befugnisse jedoch ausdrücklich auf kantonale Verfahren beschränkt. Die Übertretungsstrafbehörde, die im betreffenden Fall entschieden hat, kann zwar vor den kantonalen Instanzen Rechtsmittel erheben (§ 91 GOG/ZH), hingegen vertritt die Oberstaatsanwaltschaft den Kanton in Rechtsmittelverfahren vor dem Bundesgericht und vor dem Bundesstrafgericht (Art. 107 Abs. 1 lit. a GOG). Nach Abs. 2 der erwähnten Bestimmung kann die Oberstaatsanwaltschaft die Vertretung in bundesgerichtlichen Verfahren einer Leitenden Staatsanwältin oder einem Leitenden Staatsanwalt übertragen. Die Legitimation der Beschwerdeführerin vor Bundesgericht ist demnach zu verneinen und auf die Beschwerde im Verfahren nach Art. 108 BGG nicht einzutreten.</w:t>
      </w:r>
    </w:p>
    <w:p>
      <w:r>
        <w:rPr>
          <w:b/>
        </w:rPr>
        <w:t>E. 4</w:t>
      </w:r>
    </w:p>
    <w:p>
      <w:r>
        <w:t>Es sind keine Gerichtskosten zu erheben ( Art. 66 Abs. 1 und Abs. 4 BGG ). Dem Beschwerdegegner ist keine Entschädigung auszurichten,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