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6B_94/2019 vom 5. Februar 2019</w:t>
      </w:r>
    </w:p>
    <w:p>
      <w:r>
        <w:t>Bundesgericht, 2019-02-05, FR</w:t>
      </w:r>
    </w:p>
    <w:p>
      <w:r>
        <w:rPr>
          <w:b/>
        </w:rPr>
        <w:t xml:space="preserve">Quelle: </w:t>
      </w:r>
      <w:r>
        <w:t>https://mcp.opencaselaw.ch/entscheid/bger_6B_94_2019</w:t>
      </w:r>
    </w:p>
    <w:p>
      <w:r>
        <w:t>FR: TF 6B_94/2019 du 5 février 2019</w:t>
      </w:r>
    </w:p>
    <w:p>
      <w:r>
        <w:t>IT: TF 6B_94/2019 del 5 febbraio 2019</w:t>
      </w:r>
    </w:p>
    <w:p>
      <w:pPr>
        <w:pStyle w:val="Heading2"/>
      </w:pPr>
      <w:r>
        <w:t>Erwägungen</w:t>
      </w:r>
    </w:p>
    <w:p>
      <w:r>
        <w:rPr>
          <w:b/>
        </w:rPr>
        <w:t>E. 1</w:t>
      </w:r>
    </w:p>
    <w:p>
      <w:r>
        <w:t>Le recourant reproche à la cour cantonale d'avoir établi les faits de manière arbitraire en retenant, sur la base des avis émis par les experts judiciaires, qu'il était totalement inaccessible à un traitement.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La cour cantonale a exposé que, selon l'expert C.________, il n'existait à l'heure actuelle aucun traitement de nature à modifier le dysfonctionnement émotionnel constituant le coeur des troubles dont souffrait le recourant. La situation était déjà la même 15 ans auparavant, au moment de la première expertise réalisée. Les méthodes en usage dans les institutions risquaient d'aggraver l'évolution des troubles en question. Même en adoptant la position théorique la plus optimiste, considérant que les altérations psychopathes sont la conséquence plutôt que la cause du trouble, celles-ci signalaient un ancrage biologique fondant l'observation de la résistance du recourant à toute intervention psychothérapeutique, sociothérapeutique ou éducative. L'évolution de l'intéressé montrait comment les tentatives de traitement n'avaient eu aucun effet positif, mais avaient au contraire produit un effet négatif. L'expert C.________ avait conclu que, dans le cas du recourant, il était permis d'émettre un pronostic défavorable à vie. Ce pronostic découlait de facteurs structuraux inhérents à sa personnalité et qui ne pouvaient, d'après l'expérience des professionnels de la santé mentale, être modifiés par une quelconque intervention. Selon l'expert D.________, pour l'accessibilité à un traitement, il était indispensable qu'il existe une prise de conscience tout au moins rudimentaire du trouble et une souffrance causée par celui-ci. Or, le recourant ne reconnaissait pas du tout son trouble et attribuait sa souffrance complètement à son entourage. Si, par le passé, l'intéressé avait accepté de rencontrer un psychothérapeute, il s'agissait d'une posture stratégique. La thérapie, menée durant plusieurs années par divers thérapeutes, n'avait eu aucun succès concernant la reconnaissance et la prise de conscience du trouble, non plus que relativement à une confrontation approfondie nécessaire avec les infractions graves du passé. En outre, aucun travail délictuel approfondi n'avait été possible pendant 15 ans et il n'existait aucun point de départ permettant d'attendre des changements à l'avenir. Les événements ayant impliqué B.________ n'avaient pas amené un quelconque changement d'attitude chez le recourant. Pour l'expert D.________, il n'existait pas d'indications qu'une mesure ambulatoire ou institutionnelle pourrait diminuer de manière significative le risque de récidive extrêmement élevé présenté par l'intéressé s'agissant d'infractions comme l'homicide ou le viol. Le recourant n'était actuellement pas accessible à un traitement d'un point de vue forensique. Il n'était pas concevable que le risque de récidive puisse être diminué considérablement par une thérapie. Le recourant entrait dans le très petit cercle des personnes présentant un risque extrêmement élevé de commettre les infractions violentes les plus graves, pour lesquelles aucune possibilité de traitement n'était envisageable. La cour cantonale a ajouté que, lors de leur confrontation du 29 juin 2015 et durant les débats de première instance, les experts avaient confirmé qu'il n'existait pas de traitement envisageable.</w:t>
      </w:r>
    </w:p>
    <w:p>
      <w:r>
        <w:t>Pour l'autorité précédente, cette appréciation ne pouvait être modifiée par le suivi en détention, auprès du Professeur E.________, dont bénéficiait le recourant. A l'audience du 9 mars 2016, l'expert C.________ avait indiqué que l'établissement d'un véritable dialogue thérapeutique n'avait jamais été possible, y compris avec le Dr F.________ - lequel suivait régulièrement le recourant à l'époque où ce dernier avait tué B.________ -, que les certificats établis par le Professeur E.________ ne signalaient pas davantage un réel engagement de l'intéressé dans la thérapie et que les écrits de ces spécialistes illustraient l'habileté du recourant à manipuler autrui. L'expert D.________ avait quant à lui indiqué, s'agissant des thérapies tentées ou entreprises par le recourant, qu'une participation régulière à une thérapie était possible mais que celui-ci ne s'impliquait pas et manipulait les thérapeutes. Une thérapie pouvait ainsi fournir un appui au recourant mais n'était pas à même de fonder un pronostic légal. Concernant les indications du Professeur E.________, selon lesquelles le recourant se montrait un peu plus ouvert qu'auparavant dans le contact thérapeutique, celles-ci entraient en contradiction apparente avec la situation constatée, ce qui était dû à l'attitude manipulatrice de l'intéressé, lequel savait bien que la question de l'accessibilité au traitement était très importante. La cour cantonale a encore rappelé qu'avant chaque homicide, tant en 1998 qu'en 2013, le recourant était suivi par des spécialistes, ce qui ne l'avait pas empêché de passer à l'acte.</w:t>
      </w:r>
    </w:p>
    <w:p>
      <w:r>
        <w:rPr>
          <w:b/>
        </w:rPr>
        <w:t>E. 1.3</w:t>
      </w:r>
    </w:p>
    <w:p>
      <w:r>
        <w:t>Le recourant fait grief à la cour cantonale de n'avoir pas tenu compte de divers passages tirés des rapports d'expertise ou des documents émanant de ses thérapeutes. Outre que les différentes pièces évoquées par le recourant n'ont nullement été ignorées par l'autorité précédente, l'intéressé ne démontre pas en quoi celle-ci aurait, de manière insoutenable, conclu - en se ralliant sur ce point à l'avis unanime des deux experts judiciaires - à une absence d'accessibilité au traitement. Le recourant se borne en effet à faire état d'extraits dans lesquels ses thérapeutes mentionnent des évolutions dans son attitude ou sa participation aux entretiens. Aucun passage ne concerne les perspectives de voir un jour une thérapie porter ses fruits et en particulier influer sur le risque de récidive de l'intéressé. Les constatations de l'autorité précédente ne s'avèrent donc, à cet égard, aucunement arbitraires.</w:t>
      </w:r>
    </w:p>
    <w:p>
      <w:r>
        <w:t>Le recourant relève par ailleurs des contradictions entre les deux expertises judiciaires, sans indiquer ce qu'il conviendrait d'en déduire. Il regrette, sans formuler sur ce point un grief répondant aux exigences de motivation découlant des art. 42 al. 2 et 106 al. 2 LTF, que la cour cantonale n'eût pas recueilli "des preuves complémentaires", sans que l'on perçoive quelle mesure d'instruction aurait été nécessaire s'agissant d'un aspect sur lequel les deux experts judiciaires étaient unanimes et qui n'était pas véritablement contredit - en dépit de la lecture appellatoire et extensive des pièces concernées que tente de faire le recourant - par les thérapeutes E.________ et F.________.</w:t>
      </w:r>
    </w:p>
    <w:p>
      <w:r>
        <w:t>Enfin, le recourant suggère - sans que son argumentation réponde aux réquisits de l' art. 42 al. 2 LTF en matière de motivation - que la cour cantonale aurait violé le principe de l'autorité de l'arrêt de renvoi (cf. à cet égard les arrêts publiés aux ATF 143 IV 214 consid. 5.3.3 p. 222 s.; 135 III 334 consid. 2.1 p. 335 s.) en retenant qu'il était totalement inaccessible à un traitement. Or, dans l'arrêt 6B_35/2017, le Tribunal fédéral a uniquement examiné le caractère "durablement non amendable" du recourant au sens de l' art. 64 al. 1bis let . c CP et a considéré que l'intéressé ne pouvait, au regard des constatations de l'expert D.________, être considéré a priori comme non amendable sa vie durant (cf. consid. 8.5). On ne voit pas en quoi la cour cantonale se serait écartée de cette appréciation en retenant que le recourant était actuellement totalement inaccessible à un traitement.</w:t>
      </w:r>
    </w:p>
    <w:p>
      <w:r>
        <w:t>Le grief doit être rejeté dans la mesure où il est recevable.</w:t>
      </w:r>
    </w:p>
    <w:p>
      <w:r>
        <w:rPr>
          <w:b/>
        </w:rPr>
        <w:t>E. 2</w:t>
      </w:r>
    </w:p>
    <w:p>
      <w:r>
        <w:t>Le recourant soutient que la cour cantonale aurait violé l' art. 64 CP en ordonnant son internement.</w:t>
      </w:r>
    </w:p>
    <w:p>
      <w:r>
        <w:rPr>
          <w:b/>
        </w:rPr>
        <w:t>E. 2.1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En présence d'un trouble psychiatrique, l'internement constitue, conformément au principe de proportionnalité consacré par l' art. 56 al. 2 CP , une mesure subsidiaire aux mesures institutionnelles prévues par l' art. 59 CP .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p. 9; 134 IV 315 consid. 3.2 p. 32).</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 La possibilité vague d'une diminution du risque ou l'espoir d'une diminution seulement minimale de ce risque ne sont en revanche pas suffisants ( ATF 141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w:t>
      </w:r>
    </w:p>
    <w:p>
      <w:r>
        <w:rPr>
          <w:b/>
        </w:rPr>
        <w:t>E. 2.2</w:t>
      </w:r>
    </w:p>
    <w:p>
      <w:r>
        <w:t>La cour cantonale a considéré que les deux experts judiciaires s'étaient rejoints pour affirmer que le recourant était inaccessible à un traitement. Si l'expert C.________ avait émis un tel pronostic à vie, l'expert D.________ avait limité le sien à 20 ans, en raison de l'impossibilité de prédire les progrès de la science, tout en confirmant qu'il n'existait aucun processus thérapeutique connu dans le monde permettant un remodelage complet de la structure de la personnalité de l'intéressé, nécessaire à l'obtention d'une amélioration significative du pronostic concernant le risque de récidive. Pour l'autorité précédente, un traitement thérapeutique institutionnel n'était ainsi pas susceptible d'entraîner un quelconque changement dans les cinq prochaines années, non plus qu'une nette réduction du risque de récidive, mais risquait au contraire d'aggraver la situation. Le recourant était ainsi, sinon à vie du moins à terme, inaccessible à tout traitement.</w:t>
      </w:r>
    </w:p>
    <w:p>
      <w:r>
        <w:rPr>
          <w:b/>
        </w:rPr>
        <w:t>E. 2.3</w:t>
      </w:r>
    </w:p>
    <w:p>
      <w:r>
        <w:t>L'argumentation du recourant est irrecevable dans la mesure où elle consiste à affirmer qu'il serait accessible à un traitement, l'intéressé s'écartant de la sorte de l'état de fait de la cour cantonale, par lequel le Tribunal fédéral est lié (cf. art. 105 al. 1 LTF ) et dont il n'a pas démontré l'arbitraire (cf. consid. 1.3 supra). Au demeurant, outre que les extraits de rapports médicaux ou d'expertise dont se prévaut le recourant concernent son attitude et sa participation aux thérapies mais n'évoquent nullement les perspectives de succès des traitements ni le pronostic relatif au risque de récidive, l'intéressé ne prétend pas qu'un traitement pourrait, dans les cinq ans de la durée normale d'une mesure à titre de l' art. 59 CP , entraîner une réduction nette du risque de récidive (cf. consid. 2.1 supra).</w:t>
      </w:r>
    </w:p>
    <w:p>
      <w:r>
        <w:rPr>
          <w:b/>
        </w:rPr>
        <w:t>E. 2.4</w:t>
      </w:r>
    </w:p>
    <w:p>
      <w:r>
        <w:t>Se référant à quelques auteurs (MARIANNE HEER, in Basler Kommentar, Strafrecht I, 4e éd. 2019, n° 86 ss ad art. 64 CP ; GÜNTER STRATENWERTH, Schweizerisches Strafrecht, Allgemeiner Teil II, Strafen und Massnahmen, 2e éd. 2006, § 12 no 13; SCHWARZENEGGER/HUG/ JOSITSCH, Strafrecht II, 8e éd. 2007, p. 190), le recourant soutient qu'il ne peut être renoncé au prononcé d'une mesure thérapeutique institutionnelle que si celle-ci est vouée à l'échec, ce qui ne pourrait être admis qu'après qu'une tentative sérieuse de traitement eut été entreprise et eut échoué. Selon l'intéressé, aucune tentative sérieuse de traitement n'aurait à ce jour été entreprise.</w:t>
      </w:r>
    </w:p>
    <w:p>
      <w:r>
        <w:t>La condition à laquelle se réfère le recourant ne ressort pas du texte légal. Elle ne peut davantage être déduite de la systématique du CP, puisque les art. 59 et 64 al. 1 let. b CP décrivent des situations différentes - l'auteur pouvant, dans le premier cas, de manière prévisible être détourné de nouvelles infractions en relation avec son trouble alors que, dans le second cas, le traitement paraît voué à l'échec -, le juge devant directement prononcer la mesure adéquate - en tenant compte du principe de subsidiarité découlant de l' art. 56a al. 1 CP - et non successivement des mesures dont l'échec est prévisible. Le prononcé d'une mesure thérapeutique institutionnelle dont l'échec est prévisible entrerait d'ailleurs en contradiction avec les art. 56 al. 6 et 62c al. 1 let. a CP, qui commandent de renoncer à une mesure dont les conditions ne sont pas ou plus remplies. L'adjonction de la condition en question avait certes été proposée lors de la révision de la partie générale du CP, mais avait finalement été écartée (cf. Message concernant la modification du code pénal suisse [dispositions générales, entrée en vigueur et application du code pénal] et du code pénal militaire ainsi qu'une loi fédérale régissant la condition pénale des mineurs, FF 1999 1901; MARIANNE HEER,</w:t>
      </w:r>
    </w:p>
    <w:p>
      <w:r>
        <w:t>op. cit. , n° 106 ad art. 64 CP ). Lors des débats parlementaires, une proposition minoritaire avait derechef été faite en ce sens - soit en exigeant qu'un internement soit uniquement prononcé lorsqu'une mesure thérapeutique institutionnelle est restée sans effet - mais n'avait pas été suivie par le législateur (cf. proposition de la minorité Menétrey-Savary, Garbani, Vischer, BO 2006 CN 219 ss).</w:t>
      </w:r>
    </w:p>
    <w:p>
      <w:r>
        <w:t>Il découle de ce qui précède que le législateur n'a aucunement voulu conditionner le prononcé d'un internement à l'échec préalable d'un traitement institutionnel. Hormis GÜNTER STRATENWERTH (cf.</w:t>
      </w:r>
    </w:p>
    <w:p>
      <w:r>
        <w:t>op. cit. , § 8 no 8 et § 12 no 13), les auteurs auxquels se réfère le recourant n'évoquent d'ailleurs pas cet élément comme une exigence absolue, mais y voient en substance une garantie de sécurité pour la formulation du pronostic (cf. MARIANNE HEER,</w:t>
      </w:r>
    </w:p>
    <w:p>
      <w:r>
        <w:t>op. cit. , n° 106 ss ad art. 64 CP ; JOSITSCH/EGE/SCHWARZENEGGER, Strafrecht II, Strafen und Massnahmen, 9e éd. 2018, p. 215). Or, en l'occurrence, deux experts judiciaires se sont accordés pour conclure à l'inaccessibilité du recourant à tout traitement ainsi qu'à l'inexistence, à l'heure actuelle, d'un traitement adéquat compte tenu de la pathologie présentée par ce dernier. Le pronostic relatif à l'évolution du recourant n'a donc pas été formulé à la légère ni assorti de réserves notables de la part des experts. Au regard des conclusions des experts judiciaires, on ne voit au demeurant pas quel traitement - au sens de l' art. 59 CP - pourrait être entrepris.</w:t>
      </w:r>
    </w:p>
    <w:p>
      <w:r>
        <w:rPr>
          <w:b/>
        </w:rPr>
        <w:t>E. 2.5</w:t>
      </w:r>
    </w:p>
    <w:p>
      <w:r>
        <w:t>Le recourant soutient encore que l'internement ordonné porterait atteinte au principe de la proportionnalité découlant des art. 5 al. 2 et 36 Cst. ainsi que 56 al. 2 CP. Selon lui, un internement ne pourrait être ordonné que si sa dangerosité ne pouvait être contenue par un autre moyen, ce qui ne serait pas le cas au regard de la peine privative de liberté à vie lui ayant été infligée.</w:t>
      </w:r>
    </w:p>
    <w:p>
      <w:r>
        <w:t>L'argumentation du recourant tombe à faux. Celui-ci admet que, dans l'arrêt publié aux ATF 142 IV 56 , le Tribunal fédéral a eu l'occasion d'examiner l'articulation de la peine privative de liberté à vie et de l'internement, en concluant que le prononcé d'une telle peine n'excluait aucunement celui d'une telle mesure. Le recourant ne critique pas cette jurisprudence et ne soutient pas qu'il conviendrait de la modifier. Il prétend cependant que le Tribunal fédéral n'y aurait pas spécifiquement examiné la question sous l'angle de la proportionnalité, ni n'aurait expliqué "pour quelles raisons le respect de la sécurité publique serait globalement mieux assuré par une mesure d'internement par rapport à une peine privative de liberté à vie". Il apparaît pourtant que, dans l'arrêt précité, le Tribunal fédéral a longuement cherché si le prononcé d'un internement en sus d'une peine privative de liberté à vie pouvait se révéler superflu ou au contraire se justifier pour des motifs de sécurité publique. A cet égard, il a constaté que les exigences concernant la libération conditionnelle d'une peine privative de liberté prononcée simultanément à un internement étaient plus élevées, sur un plan formel et matériel, que celles présidant à une libération conditionnelle de la seule peine privative de liberté (cf. ATF 142 IV 56 consid. 2.5 p. 62). En particulier, la libération conditionnelle de la peine privative de liberté lorsqu'un internement a été simultanément prononcé ne peut être accordée que s'il existe une forte probabilité que l'auteur se conduira correctement en liberté (cf. art. 64a al. 1 CP ; ATF 142 IV 56 consid. 2.4 p. 62 et les références citées), et seulement après que l'autorité compétente eut pris connaissance de diverses informations, notamment d'une expertise indépendante et de l'avis d'une commission composée de représentants des autorités de poursuite pénale, des autorités d'exécution et des milieux de la psychiatrie (cf. art. 64b al. 2</w:t>
      </w:r>
    </w:p>
    <w:p>
      <w:r>
        <w:t>cum 62d al. 2 CP; ATF 142 IV 56 consid. 2.4 p. 62). En outre, lorsqu'un internement est prononcé simultanément à une peine privative de liberté, la réintégration de la personne libérée conditionnellement peut précéder la commission de nouvelles infractions, ce qui n'est pas le cas lorsque seule une peine privative de liberté a été prononcée (cf. art. 64a al. 3 et 89 al. 1 CP; ATF 142 IV 56 consid. 2.4 p. 61 s.). Le Tribunal fédéral a donc estimé que des motifs de sécurité publique commandaient de prononcer simultanément un internement et une peine privative de liberté à vie lorsque les conditions de l' art. 64 al. 1 CP sont remplies, puisque, dans ce cas, le risque de pronostics erronés lors de l'octroi de la libération conditionnelle de la peine ainsi que celui de commission de nouvelles infractions après la libération conditionnelle sont réduits (cf. ATF 142 IV 56 consid. 2.6 p. 63). Partant, contrairement à ce que suggère le recourant, le prononcé d'un internement ne saurait, en ce qui le concerne, être regardé comme superflu, les impératifs de sécurité publique n'étant pas pleinement satisfaits par la seule exécution de la peine privative de liberté à vie.</w:t>
      </w:r>
    </w:p>
    <w:p>
      <w:r>
        <w:rPr>
          <w:b/>
        </w:rPr>
        <w:t>E. 2.6</w:t>
      </w:r>
    </w:p>
    <w:p>
      <w:r>
        <w:t>Compte tenu de ce qui précède, la cour cantonale n'a pas violé le droit fédéral ou constitutionnel en ordonnant une mesure d'internement à l'endroit du recourant. Le grief doit être rejeté dans la mesure où il est recevable.</w:t>
      </w:r>
    </w:p>
    <w:p>
      <w:r>
        <w:rPr>
          <w:b/>
        </w:rPr>
        <w:t>E. 3</w:t>
      </w:r>
    </w:p>
    <w:p>
      <w:r>
        <w:t>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