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947/2014 vom 23. Januar 2015</w:t>
      </w:r>
    </w:p>
    <w:p>
      <w:r>
        <w:t>Bundesgericht, 2015-01-23, DE</w:t>
      </w:r>
    </w:p>
    <w:p>
      <w:r>
        <w:rPr>
          <w:b/>
        </w:rPr>
        <w:t xml:space="preserve">Quelle: </w:t>
      </w:r>
      <w:r>
        <w:t>https://mcp.opencaselaw.ch/entscheid/bger_6B_947_2014</w:t>
      </w:r>
    </w:p>
    <w:p>
      <w:r>
        <w:t>FR: TF 6B 947/2014 du 23 janvier 2015</w:t>
      </w:r>
    </w:p>
    <w:p>
      <w:r>
        <w:t>IT: TF 6B 947/2014 del 23 gennaio 2015</w:t>
      </w:r>
    </w:p>
    <w:p>
      <w:pPr>
        <w:pStyle w:val="Heading2"/>
      </w:pPr>
      <w:r>
        <w:t>Regeste</w:t>
      </w:r>
    </w:p>
    <w:p>
      <w:r>
        <w:t>Tätlichkeiten; Beschimpfung | Straftaten</w:t>
      </w:r>
    </w:p>
    <w:p>
      <w:pPr>
        <w:pStyle w:val="Heading2"/>
      </w:pPr>
      <w:r>
        <w:t>Erwägungen</w:t>
      </w:r>
    </w:p>
    <w:p>
      <w:r>
        <w:rPr>
          <w:b/>
        </w:rPr>
        <w:t>E. 1</w:t>
      </w:r>
    </w:p>
    <w:p>
      <w:r>
        <w:t>Die Beschwerdeführerin wurde mit Strafbefehl vom 23. April 2013 wegen mehrfacher Beschimpfung und Tätlichkeiten zu einer bedingten Geldstrafe von 20 Tagessätzen zu Fr. 30.-- und zu einer Busse von Fr. 600.-- verurteilt. Das Strafgericht des Kantons Basel-Stadt bestätigte den Schuldspruch, reduzierte die Strafe aber auf 10 Tagessätze zu Fr. 20.-- und die Busse auf Fr. 200.--. In Bestätigung des erstinstanzlichen Urteils wies das Appellationsgericht des Kantons Basel-Stadt die Berufung der Beschwerdeführerin mit Urteil vom 3. September 2014 ab. Die Beschwerdeführerin wendet sich an das Bundesgericht, ohne einen ausdrücklichen Antrag zu stellen. Sie führt aus, mangels Straftat anerkenne sie keinerlei Bestrafung.</w:t>
      </w:r>
    </w:p>
    <w:p>
      <w:r>
        <w:rPr>
          <w:b/>
        </w:rPr>
        <w:t>E. 2</w:t>
      </w:r>
    </w:p>
    <w:p>
      <w:r>
        <w:t>In einer Eingabe ans Bundesgericht ist darzulegen, inwieweit der angefochtene Entscheid das Recht verletzt ( Art. 42 Abs. 2 BGG ). Daraus folgt, dass sich die Beschwerdeführerin wenigstens kurz mit den Erwägungen der Vorinstanz auseinandersetzen muss. Strengere Anforderungen gelten, wenn sie die Verletzung von Grundrechten (z.B. Willkür bei der Sachverhaltsfeststellung) geltend machen will. Eine solche Rüge prüft das Bundesgericht nur insoweit, als sie in der Beschwerde ausdrücklich vorgebracht und begründet wurde ( Art. 106 Abs. 2 BGG ; vgl. BGE 133 II 249 E. 1.4 S. 254 f.). Die vorliegende Beschwerde genügt den Anforderungen nicht. Die Beschwerdeführerin befasst sich nicht ansatzweise mit den Ausführungen der Vorinstanz, sondern beschränkt sich auf eine weitschweifige Darstellung der Angelegenheit aus ihrer Sicht. Weder ist daraus ersichtlich, inwieweit der angefochtene Entscheid gegen das Recht verstossen könnte, noch wird dargelegt, dass die Vorinstanz in Willkür verfallen wäre. Auf die Beschwerde ist mangels einer tauglichen Begründung im Verfahren nach Art. 108 BGG nicht einzutreten.</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