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6B_946/2020 vom 17. September 2020</w:t>
      </w:r>
    </w:p>
    <w:p>
      <w:r>
        <w:t>Bundesgericht, 2020-09-17, FR</w:t>
      </w:r>
    </w:p>
    <w:p>
      <w:r>
        <w:rPr>
          <w:b/>
        </w:rPr>
        <w:t xml:space="preserve">Quelle: </w:t>
      </w:r>
      <w:r>
        <w:t>https://mcp.opencaselaw.ch/entscheid/bger_6B_946_2020</w:t>
      </w:r>
    </w:p>
    <w:p>
      <w:r>
        <w:t>FR: TF 6B_946/2020 du 17 septembre 2020</w:t>
      </w:r>
    </w:p>
    <w:p>
      <w:r>
        <w:t>IT: TF 6B_946/2020 del 17 settembre 2020</w:t>
      </w:r>
    </w:p>
    <w:p>
      <w:pPr>
        <w:pStyle w:val="Heading2"/>
      </w:pPr>
      <w:r>
        <w:t>Erwägungen</w:t>
      </w:r>
    </w:p>
    <w:p>
      <w:r>
        <w:rPr>
          <w:b/>
        </w:rPr>
        <w:t>E. 1</w:t>
      </w:r>
    </w:p>
    <w:p>
      <w:r>
        <w:t>Le 28 février 2020, A.________ a déposé plainte contre inconnu, pour "mauvais traitements". Il a joint à cette plainte un lot de pièces, consistant principalement en des échanges de courriers avec diverses autorités. Par courrier du 3 juin 2020, le prénommé a précisé sa plainte, en critiquant en substance le comportement du Service des curatelles et tutelles professionnelles, ainsi que celui de la Justice de paix.</w:t>
      </w:r>
    </w:p>
    <w:p>
      <w:r>
        <w:t>Par ordonnance du 24 juin 2020, le Ministère public de l'arrondissement de Lausanne a refusé d'entrer en matière sur cette plainte.</w:t>
      </w:r>
    </w:p>
    <w:p>
      <w:r>
        <w:t>Par arrêt du 13 juillet 2020, la Chambre des recours pénale du Tribunal cantonal du canton de Vaud a rejeté - dans la mesure de sa recevabilité - le recours formé par A.________ contre cette ordonnance et a confirmé celle-ci.</w:t>
      </w:r>
    </w:p>
    <w:p>
      <w:r>
        <w:t>A.________ forme un recours en matière pénale au Tribunal fédéral contre l'arrêt du 13 juillet 2020, en concluant à ce que la violation de différents articles de la CEDH, de la Constitution fédérale et du CP soit constatée.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l'occurrence, le recourant évoque sa situation en lien avec différentes autorités cantonales, en contestant les mesures de protection de l'adulte dont il indique bénéficier et en se plaignant d'un "mauvais traitement". Par ailleurs, il mentionne diverses dispositions légales et conventionnelles, sans indiquer ce qu'il conviendrait d'en déduire. C'est en vain que l'on cherche, dans son mémoire de recours, un grief topique, propre à démontrer que la cour cantonale aurait pu violer le droit.</w:t>
      </w:r>
    </w:p>
    <w:p>
      <w:r>
        <w:t>Le recourant n'indique pas, au demeurant, dans quelle mesure la décision attaquée pourrait avoir des effets sur le jugement d'éventuelles prétentions civiles (cf. art. 81 al. 1 let. b ch. 5 LTF).</w:t>
      </w:r>
    </w:p>
    <w:p>
      <w:r>
        <w:t>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Comme ses conclusions étaient vouées à l'échec, l'assistance judiciaire ne peut être accordée ( art. 64 al. 1 LTF ). Le recourant, qui succombe, supporte les frais judiciaires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