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6B_946/2018 vom 15. November 2018</w:t>
      </w:r>
    </w:p>
    <w:p>
      <w:r>
        <w:t>Bundesgericht, 2018-11-15, FR</w:t>
      </w:r>
    </w:p>
    <w:p>
      <w:r>
        <w:rPr>
          <w:b/>
        </w:rPr>
        <w:t xml:space="preserve">Quelle: </w:t>
      </w:r>
      <w:r>
        <w:t>https://mcp.opencaselaw.ch/entscheid/bger_6B_946_2018</w:t>
      </w:r>
    </w:p>
    <w:p>
      <w:r>
        <w:t>FR: TF 6B_946/2018 du 15 novembre 2018</w:t>
      </w:r>
    </w:p>
    <w:p>
      <w:r>
        <w:t>IT: TF 6B_946/2018 del 15 novembre 2018</w:t>
      </w:r>
    </w:p>
    <w:p>
      <w:pPr>
        <w:pStyle w:val="Heading2"/>
      </w:pPr>
      <w:r>
        <w:t>Erwägungen</w:t>
      </w:r>
    </w:p>
    <w:p>
      <w:r>
        <w:rPr>
          <w:b/>
        </w:rPr>
        <w:t>E. 1</w:t>
      </w:r>
    </w:p>
    <w:p>
      <w:r>
        <w:t>Le recourant invoque une violation de l' art. 112 al. 1 let. b LTF .</w:t>
      </w:r>
    </w:p>
    <w:p>
      <w:r>
        <w:rPr>
          <w:b/>
        </w:rPr>
        <w:t>E. 1.1</w:t>
      </w:r>
    </w:p>
    <w:p>
      <w:r>
        <w:t>Selon cette disposition, les décisions qui peuvent faire l'objet d'un recours au Tribunal fédéral doivent indiquer " les motifs déterminants de fait et de droit, notamment les dispositions légales appliquées ".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143 III 65 consid. 5.2 p. 70; 142 III 433 consid. 4.3.2 p. 436). La motivation peut pour le reste être implicite et résulter des différents considérants de la décision (arrêt 6B_101/2011 du 14 février 2012 consid. 3.1).</w:t>
      </w:r>
    </w:p>
    <w:p>
      <w:r>
        <w:rPr>
          <w:b/>
        </w:rPr>
        <w:t>E. 1.2</w:t>
      </w:r>
    </w:p>
    <w:p>
      <w:r>
        <w:t>En l'espèce, le jugement attaqué comprend une présentation des preuves pertinentes, l'appréciation de leur valeur probante et les faits que l'autorité précédente retient en conséquence, ainsi que leur appréciation juridique. Une telle motivation remplit à l'évidence les exigences découlant de l' art. 112 al. 1 let. b LTF . Le grief est infondé.</w:t>
      </w:r>
    </w:p>
    <w:p>
      <w:r>
        <w:rPr>
          <w:b/>
        </w:rPr>
        <w:t>E. 2</w:t>
      </w:r>
    </w:p>
    <w:p>
      <w:r>
        <w:t>Le recourant soutient que l'autorité précédente aurait procédé à une appréciation des preuves et une constatation des faits arbitraires et contraires à la présomption d'innocence. Il conteste être l'auteur des blessures qui lui sont imputées et que celles-ci aient été causées lorsqu'il a serré sa victime. Il invoque que l'objet utilisé n'a été ni trouvé, ni vu et soutient qu'il existerait de nombreuses zones d'ombres.</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t>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t>Le Tribunal fédéral n'entre en matière sur les moyens fondés sur la violation de droits fondamentaux que s'ils ont été invoqués et motivés de manière précise ( art. 106 al. 2 LTF ).</w:t>
      </w:r>
    </w:p>
    <w:p>
      <w:r>
        <w:rPr>
          <w:b/>
        </w:rPr>
        <w:t>E. 2.2</w:t>
      </w:r>
    </w:p>
    <w:p>
      <w:r>
        <w:t>L'ensemble de l'argumentation du recourant consiste à tenter d'imposer son appréciation des preuves et sa version des faits sur celle retenue par l'autorité précédente, sans jamais démontrer en quoi celle-ci aurait été insoutenable. Appellatoire, elle est irrecevable.</w:t>
      </w:r>
    </w:p>
    <w:p>
      <w:r>
        <w:rPr>
          <w:b/>
        </w:rPr>
        <w:t>E. 3</w:t>
      </w:r>
    </w:p>
    <w:p>
      <w:r>
        <w:t>Il résulte de ce qui précède que le recours doit être rejeté, dans la mesure de sa recevabilité.</w:t>
      </w:r>
    </w:p>
    <w:p>
      <w:r>
        <w:t>Comme les conclusions du recours étaient manifestement dépourvues de chances de succès, l'assistance judiciaire est refusée ( art. 64 al. 1 LTF ). Le recourant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