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6B_944/2020 vom 19. Januar 2021</w:t>
      </w:r>
    </w:p>
    <w:p>
      <w:r>
        <w:t>Bundesgericht, 2021-01-19, FR</w:t>
      </w:r>
    </w:p>
    <w:p>
      <w:r>
        <w:rPr>
          <w:b/>
        </w:rPr>
        <w:t xml:space="preserve">Quelle: </w:t>
      </w:r>
      <w:r>
        <w:t>https://mcp.opencaselaw.ch/entscheid/bger_6B_944_2020</w:t>
      </w:r>
    </w:p>
    <w:p>
      <w:r>
        <w:t>FR: TF 6B_944/2020 du 19 janvier 2021</w:t>
      </w:r>
    </w:p>
    <w:p>
      <w:r>
        <w:t>IT: TF 6B_944/2020 del 19 gennaio 2021</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 ATF 127 IV 185 consid. 1a p. 188; arrêt 6B_741/2020 du 11 novembre 2020 consid. 2.1).</w:t>
      </w:r>
    </w:p>
    <w:p>
      <w:r>
        <w:rPr>
          <w:b/>
        </w:rPr>
        <w:t>E. 1.2</w:t>
      </w:r>
    </w:p>
    <w:p>
      <w:r>
        <w:t>Le recourant a conclu à l'allocation d'un montant de USD 120'470.40 en relation avec le cas n° 1 de l'acte d'accusation du 7 septembre 2018. Le tribunal de première instance, qui avait condamné l'intimé pour abus de confiance, lui avait alloué l'intégralité de ses prétentions. Sur appel de l'intimé, la cour cantonale a libéré celui-ci des chefs d'accusation d'abus de confiance et a donné acte au recourant de ses réserves civiles à l'encontre de l'intimé. Dans son recours au Tribunal fédéral, le recourant répète les conclusions civiles prises à l'encontre de l'intimé devant le juge de première instance. Il a en conséquence la qualité pour recourir en matière pénale conformément à l'art. 81 al. 1 let. b ch. 5 LTF.</w:t>
      </w:r>
    </w:p>
    <w:p>
      <w:r>
        <w:rPr>
          <w:b/>
        </w:rPr>
        <w:t>E. 2</w:t>
      </w:r>
    </w:p>
    <w:p>
      <w:r>
        <w:t>Le recourant soutient que la cour cantonale s'est écartée de l'arrêt de renvoi du Tribunal fédéral, en déclarant que le courriel du 10 mai 2006 " précisait de manière suffisante que, dans le cadre de leurs relations d'affaires, A.________ reconnaît devoir à B.________ la somme totale de USD 186'163 " (jugement attaqué p. 12).</w:t>
      </w:r>
    </w:p>
    <w:p>
      <w:r>
        <w:rPr>
          <w:b/>
        </w:rPr>
        <w:t>E. 2.1</w:t>
      </w:r>
    </w:p>
    <w:p>
      <w:r>
        <w:t>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2.2</w:t>
      </w:r>
    </w:p>
    <w:p>
      <w:r>
        <w:t>Dans l'arrêt 6B_918/2019 du 28 novembre 2019, le Tribunal fédéral a indiqué que la cour cantonale ne s'était pas prononcée sur l'élément subjectif de l'infraction d'abus de confiance, notamment sur le dessein d'enrichissement illégitime. Il a précisé à cet égard qu'il n'y avait pas de dessein d'enrichissement illégitime chez celui qui s'appropriait une chose pour se payer ou pour tenter de se payer lui-même, s'il avait une créance d'un montant au moins égal à la valeur de la chose qu'il s'était appropriée et s'il avait vraiment agi en vue de se payer. Il a rappelé que, selon la jurisprudence, ce qui excluait le dessein d'enrichissement illégitime, ce n'était pas la circonstance objective de l'existence d'une créance de l'auteur contre le lésé, mais sa volonté de se faire payer ( ATF 105 IV 29 consid. 3a p. 35).</w:t>
      </w:r>
    </w:p>
    <w:p>
      <w:r>
        <w:rPr>
          <w:b/>
        </w:rPr>
        <w:t>E. 2.3</w:t>
      </w:r>
    </w:p>
    <w:p>
      <w:r>
        <w:t>La cour cantonale a retenu que la volonté de compenser de l'intimé était bien établie et a exclu tout dessein d'enrichissement. Elle s'est fondée à cet égard sur quatre éléments. Elle s'est d'abord référée au message du 10 mai 2006, qui, selon elle, " précise, de manière suffisante (en anglais) que, dans le cadre de leurs relations d'affaires, A.________ reconnaît devoir à B.________ la somme totale de USD 186'163 ". En outre, elle a relevé que, dans un premier temps, en 2006, l'intimé avait rétrocédé le montant de USD 120'470.40 au recourant. Elle a également noté qu'en cours de son audition par la police du 31 janvier 2014, l'intimé avait déclaré qu'il ne s'était pas enrichi, car le recourant devait une somme beaucoup plus élevée à C.________ SA. Enfin, elle a constaté que les courriels auxquels le recourant faisait référence, par renvoi à son mémoire du 16 août 2019 au Tribunal fédéral, concernaient d'autres affaires que celle du lait en poudre et le fait que B.________ ne fasse pas formellement valoir la compensation dans ces courriels ne signifiait pas qu'il n'avait pas la volonté de compenser lorsqu'il a obtenu la restitution des USD 120'470.40 en 2009.</w:t>
      </w:r>
    </w:p>
    <w:p>
      <w:r>
        <w:rPr>
          <w:b/>
        </w:rPr>
        <w:t>E. 2.4</w:t>
      </w:r>
    </w:p>
    <w:p>
      <w:r>
        <w:t>Par cette argumentation, la cour cantonale n'est pas sortie du cadre légal fixé par l'arrêt de renvoi. Suivant cet arrêt, elle s'est prononcée sur le dessein d'enrichissement illégitime de l'intimé. Elle a conclu que celui-ci avait la volonté de compenser et, partant, n'avait pas de dessein d'enrichissement illégitime, sur la base de divers éléments, et notamment du message du 10 mai 2019. Si ce dernier message ne permet pas d'établir que l'intimé avait une créance de USD 186'163 à l'encontre du recourant, il peut constituer un indice de la volonté de compenser de l'intimé. La cour cantonale ne s'est en revanche pas formellement prononcée sur la matérialité de la créance, puisqu'elle a donné acte au recourant de ses réserves civiles et l'a renvoyé à agir par la voie civile. Le grief tiré de la violation du principe de l'autorité de l'arrêt de renvoi doit donc être rejeté.</w:t>
      </w:r>
    </w:p>
    <w:p>
      <w:r>
        <w:rPr>
          <w:b/>
        </w:rPr>
        <w:t>E. 3</w:t>
      </w:r>
    </w:p>
    <w:p>
      <w:r>
        <w:t>Le recourant reproche à la cour cantonale d'avoir violé l' art. 138 CP (abus de confiance) en excluant tout dessein d'enrichissement illégitime de la part de l'intimé.</w:t>
      </w:r>
    </w:p>
    <w:p>
      <w:r>
        <w:rPr>
          <w:b/>
        </w:rPr>
        <w:t>E. 3.1</w:t>
      </w:r>
    </w:p>
    <w:p>
      <w:r>
        <w:t>Du point de vue subjectif, l'auteur d'un abus de confiance doit agir intentionnellement et dans un dessein d'enrichissement illégitime. Déterminer ce qu'une personne a su, voulu, envisagé ou accepté relève du contenu de la pensée, à savoir de faits   " internes   " qui, en tant que tels, lient le Tribunal fédéral (cf. art. 105 al. 1 LTF ), à moins qu'ils aient été retenus de manière 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16 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133 IV 9 consid. 4.1 p. 17; 125 IV 242 consid. 3c p. 252; arrêt 6B_148/2020 du 2 juillet 2020 consid. 5.1.2 et les références citées).</w:t>
      </w:r>
    </w:p>
    <w:p>
      <w:r>
        <w:rPr>
          <w:b/>
        </w:rPr>
        <w:t>E. 3.2</w:t>
      </w:r>
    </w:p>
    <w:p>
      <w:r>
        <w:t>En l'espèce, la cour cantonale s'est fondée sur quatre éléments pour conclure que l'intimé n'avait pas de dessein d'enrichissement illégitime (cf. consid. 2.3).</w:t>
      </w:r>
    </w:p>
    <w:p>
      <w:r>
        <w:t>Comme vu ci-dessus, le message électronique du 10 mai 2006 - s'il ne peut établir la matérialité d'une créance de l'intimé à l'encontre du recourant - peut constituer un indice de la volonté de compenser de la part de l'intimé. La première rétrocession au recourant, en 2006, du montant de USD 120'470.40 atteste d'un comportement régulier de l'intimé et parle en faveur d'une volonté de compenser de sa part. En déclarant, lors de son audition devant la police le 31 janvier 2014, qu'il ne s'était pas enrichi car le recourant lui devait une somme d'argent beaucoup plus élevée, l'intimé témoigne également de sa volonté de compenser. Enfin, selon la jurisprudence, la volonté de compenser ne suppose pas nécessairement une déclaration de compensation ( ATF 105 IV 29 consid. 3a p. 35). En définitive, au vu des circonstances précitées, la cour cantonale n'a pas violé le droit fédéral, ni versé dans l'arbitraire en retenant que la condition subjective du dessein d'enrichissement illégitime n'était pas réalisée et en libérant l'intimé de l'infraction d'abus de confiance pour le cas n° 1 de l'acte d'accusation.</w:t>
      </w:r>
    </w:p>
    <w:p>
      <w:r>
        <w:rPr>
          <w:b/>
        </w:rPr>
        <w:t>E. 4</w:t>
      </w:r>
    </w:p>
    <w:p>
      <w:r>
        <w:t>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r>
        <w:t>Il n'y a pas lieu d'allouer d'indemnité à l'intimé qui n'a pas été invité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