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6B_944/2015 vom 25. Mai 2016</w:t>
      </w:r>
    </w:p>
    <w:p>
      <w:r>
        <w:t>Bundesgericht, 2016-05-25, FR</w:t>
      </w:r>
    </w:p>
    <w:p>
      <w:r>
        <w:rPr>
          <w:b/>
        </w:rPr>
        <w:t xml:space="preserve">Quelle: </w:t>
      </w:r>
      <w:r>
        <w:t>https://mcp.opencaselaw.ch/entscheid/bger_6B_944_2015</w:t>
      </w:r>
    </w:p>
    <w:p>
      <w:r>
        <w:t>FR: TF 6B_944/2015 du 25 mai 2016</w:t>
      </w:r>
    </w:p>
    <w:p>
      <w:r>
        <w:t>IT: TF 6B_944/2015 del 25 maggio 2016</w:t>
      </w:r>
    </w:p>
    <w:p>
      <w:pPr>
        <w:pStyle w:val="Heading2"/>
      </w:pPr>
      <w:r>
        <w:t>Erwägungen</w:t>
      </w:r>
    </w:p>
    <w:p>
      <w:r>
        <w:rPr>
          <w:b/>
        </w:rPr>
        <w:t>E. 1</w:t>
      </w:r>
    </w:p>
    <w:p>
      <w:r>
        <w:t>A teneur de l' art. 81 al. 1 let. b LTF , la qualité pour exercer le recours en matière pénale appartient à toute personne qui, entre autres conditions, a un intérêt juridique à l'annulation ou à la modification de la décision attaquée. Selon la jurisprudence, cet intérêt juridique est notamment reconnu à la partie plaignante qui prétend avoir subi des traitements cruels, inhumains ou dégradants prohibés par les art. 3 CEDH et 10 al. 3 Cst., lorsque cette partie attaque une ordonnance de classement ou un jugement d'acquittement rendus en faveur des personnes censément coupables de ces traitements prohibés; la condition dont dépend la qualité de la partie plaignante pour recourir selon l'art. 81 al. 1 let. b ch. 5 LTF, relative aux effets de la décision attaquée sur ses prétentions civiles, n'est alors pas applicable ( ATF 138 IV 86 consid. 3 p. 87).</w:t>
      </w:r>
    </w:p>
    <w:p>
      <w:r>
        <w:t>Lorsqu'elle est pratiquée par des agents publics contre une personne privée de sa liberté et qu'elle n'est pas absolument nécessaire en raison du comportement de cette personne, la violence physique porte atteinte à la dignité humaine et elle est en principe contraire aux art. 3 CEDH et 10 al. 3 Cst. ( ATF 131 I 455 consid. 1.2.6 p. 463; arrêt 1B_70/2011 du 11 mai 2011, consid. 2.2.5.4, EuGRZ 2011 p. 619). En l'occurrence, au regard des accusations qu'elle porte contre les intimés et de la fonction étatique que ceux-ci assumaient, la recourante a qualité pour saisir le Tribunal fédéral.</w:t>
      </w:r>
    </w:p>
    <w:p>
      <w:r>
        <w:rPr>
          <w:b/>
        </w:rPr>
        <w:t>E. 2</w:t>
      </w:r>
    </w:p>
    <w:p>
      <w:r>
        <w:t>La recourante prétend n'avoir pas obtenu l'enquête officielle, approfondie et effective destinée à l'identification et à la punition des auteurs de traitements cruels, inhumains ou dégradants, enquête que l' art. 3 CEDH , en relation avec d'autres dispositions conventionnelles, garantit à la personne se disant victime de pareils traitements ( ATF 138 IV 86 consid. 3.1.1 p. 88; arrêt 1B_771/2012 du 20 août 2013, consid. 2.1, PJA 2013 p. 1688). Les prévenus ont prétendument retardé l'enquête et provoqué la disparition de certaines preuves. La recourante requiert le Tribunal fédéral de constater la violation de l' art. 3 CEDH . Ce chef de conclusions est nouveau au termes de l' art. 99 al. 2 LTF parce qu'il n'a pas été articulé devant la Cour d'appel; il est par conséquent irrecevable. Pour le surplus, même avérés, les actes d'obstruction dénoncés par la recourante ne sauraient entraîner la condamnation des sept prévenus pour abus d'autorité et lésions corporelles; le Tribunal fédéral n'entre donc pas en matière.</w:t>
      </w:r>
    </w:p>
    <w:p>
      <w:r>
        <w:rPr>
          <w:b/>
        </w:rPr>
        <w:t>E. 3</w:t>
      </w:r>
    </w:p>
    <w:p>
      <w:r>
        <w:t>Le recours en matière pénale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et il ne se prononce sur la violation de droits fondamentaux que s'il se trouve saisi d'un grief invoqué et motivé de façon détaillée ( art. 106 al. 2 LTF ; ATF 138 I 171 consid. 1.4 p. 176; 134 I 83 consid. 3.2 p. 88; 134 II 244 consid. 2.2 p. 246).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4</w:t>
      </w:r>
    </w:p>
    <w:p>
      <w:r>
        <w:t>Devant le Tribunal fédéral, la recourante persiste à soutenir que les agents de l'établissement de détention l'ont battue lors de son transfert en cellule d'isolement. La Cour d'appel a rejeté ces allégations à l'issue d'une discussion détaillée et sur la base d'un examen non moins détaillé des renseignements recueillis lors de l'enquête. La Cour a notamment discuté les rapports médicaux et les causes - telles que, parmi d'autres, l'auto-agression - qui pouvaient avoir entraîné les lésions constatées. Elle a discuté les dépositions de toutes les personnes impliquées, en tenant notamment compte de leurs variations. Elle a discuté les renseignements disponibles concernant la personnalité de la recourante - celle-ci, elle-même condamnée, subit l'exécution d'une peine - et les états de service des agents mis en prévention. La recourante revient méthodiquement sur chacun de ses arguments et sur chacun des éléments de cette discussion. Elle dénonce des constatations de fait censément arbitraires mais le Tribunal fédéral ne discerne pas sur quels points elle reproche réellement aux précédents juges,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w:t>
      </w:r>
    </w:p>
    <w:p>
      <w:r>
        <w:rPr>
          <w:b/>
        </w:rPr>
        <w:t>E. 5</w:t>
      </w:r>
    </w:p>
    <w:p>
      <w:r>
        <w:t>Les frais de la procédure pénale, non compris ceux de l'appel, sont arrêtés à 49'658 fr.85 et mis à la charge de la recourante sur la base de l' art. 420 CPP . Cette partie dénonce une application prétendument incorrecte de cette disposition.</w:t>
      </w:r>
    </w:p>
    <w:p>
      <w:r>
        <w:t>En règle générale, les frais incombent à la collectivité publique en vertu de l' art. 423 al. 1 CPP . Lorsque le prévenu est acquitté et que d'autres conditions sont aussi accomplies, l' art. 427 al. 1 ou 2 CPP permet d'imputer les frais à la partie plaignante. Il est constant que ces conditions supplémentaires ne sont pas accomplies en l'espèce.</w:t>
      </w:r>
    </w:p>
    <w:p>
      <w:r>
        <w:t>Indépendamment de l' art. 427 CPP , l' art. 420 let. a CPP accorde à la collectivité publique une action récursoire contre toute personne qui a provoqué l'ouverture de la procédure pénale de manière intentionnelle ou par négligence grave. Selon la jurisprudence, cette action tend au remboursement des frais de la procédure et, le cas échéant, des indemnités et de la réparation morale allouées au prévenu acquitté. La collectivité ne doit user de l'action récursoire qu'avec retenue; elle est néanmoins autorisée à réclamer le remboursement des frais à celui qui a saisi l'autorité de poursuite pénale de manière infondée ou par malveillance. Si le débiteur participe à la procédure pénale, l'autorité peut statuer simultanément sur la cause pénale et sur l'action récursoire (arrêts 6B_620/2015 du 3 mars 2016, consid. 2.2; 6B_446/2015 du 10 juin 2015, consid. 2.1).</w:t>
      </w:r>
    </w:p>
    <w:p>
      <w:r>
        <w:t>A l'issue de l'appréciation des preuves qui ressortissait à la juridiction cantonale, il est apparu que la recourante, contrairement à ses allégations, n'a pas été battue par les agents de l'établissement de détention. Au regard de l' art. 420 let. a CPP et de la jurisprudence y relative, ces allégations peuvent être jugées gratuites et malveillantes, ce qui justifie l'exercice de l'action récursoire. La recourante a persisté dans sa version mensongère des faits jusqu'au jugement du Tribunal correctionnel; elle ne peut donc pas échapper à cette action, même partiellement, en faisant valoir que l'autorité de recours a successivement invalidé une ordonnance de refus d'entrer en matière puis une ordonnance de classement, et que la procédure pénale s'est donc poursuivie aussi en exécution de ces décisions. Il convient de relever que l'action récursoire n'est exercée qu'à concurrence des frais de procédure, à l'exclusion des indemnités au total de 50'604 fr.40 allouées aux sept prévenus; sous cet aspect, la recourante bénéficie d'un jugement indulgent. En tant qu'il porte sur les frais, le recours en matière pénale est donc recevable mais privé de fondement.</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la recourante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