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943/2015 vom 29. Juli 2016</w:t>
      </w:r>
    </w:p>
    <w:p>
      <w:r>
        <w:t>Bundesgericht, 2016-07-29, FR</w:t>
      </w:r>
    </w:p>
    <w:p>
      <w:r>
        <w:rPr>
          <w:b/>
        </w:rPr>
        <w:t xml:space="preserve">Quelle: </w:t>
      </w:r>
      <w:r>
        <w:t>https://mcp.opencaselaw.ch/entscheid/bger_6B_943_2015</w:t>
      </w:r>
    </w:p>
    <w:p>
      <w:r>
        <w:t>FR: TF 6B 943/2015 du 29 juillet 2016</w:t>
      </w:r>
    </w:p>
    <w:p>
      <w:r>
        <w:t>IT: TF 6B 943/2015 del 29 luglio 2016</w:t>
      </w:r>
    </w:p>
    <w:p>
      <w:pPr>
        <w:pStyle w:val="Heading2"/>
      </w:pPr>
      <w:r>
        <w:t>Regeste</w:t>
      </w:r>
    </w:p>
    <w:p>
      <w:r>
        <w:t>Contravention à la loi vaudoise sur l'aménagement du territoire et les constructions (art. 130 LATC/VD) | Infractions</w:t>
      </w:r>
    </w:p>
    <w:p>
      <w:pPr>
        <w:pStyle w:val="Heading2"/>
      </w:pPr>
      <w:r>
        <w:t>Erwägungen</w:t>
      </w:r>
    </w:p>
    <w:p>
      <w:r>
        <w:rPr>
          <w:b/>
        </w:rPr>
        <w:t>E. 1</w:t>
      </w:r>
    </w:p>
    <w:p>
      <w:r>
        <w:t>A la suite du premier arrêt de renvoi 6B_942/2013 du 27 mars 2014, seule restait litigieuse et contestée la condamnation des recourants, en vertu de l'art. 130 LATC/VD, pour non-respect des directives de protection incendie concernant les conduits de fumée.</w:t>
      </w:r>
    </w:p>
    <w:p>
      <w:r>
        <w:rPr>
          <w:b/>
        </w:rPr>
        <w:t>E. 1.1</w:t>
      </w:r>
    </w:p>
    <w:p>
      <w:r>
        <w:t>Aux termes de l'art. 130 LATC/VD, celui qui contrevient à la LATC/VD, aux règlements d'application tant cantonaux que communaux ou aux décisions fondées sur ces lois et ces règlements, est passible d'une amende de deux cents francs à deux cent mille francs. La poursuite a lieu conformément à la loi vaudoise du 19 mai 2009 sur les contraventions (LContr; RS/VD 312.11).</w:t>
      </w:r>
    </w:p>
    <w:p>
      <w:r>
        <w:rPr>
          <w:b/>
        </w:rPr>
        <w:t>E. 1.2</w:t>
      </w:r>
    </w:p>
    <w:p>
      <w:r>
        <w:t>L'autorité précédente, après avoir considéré que les conduits litigieux étaient " en façade " et non intérieurs, a estimé que la norme applicable était la norme 6.9.4 DIT et non 6.9.2 DIT et que les conduits étaient conformes à la norme 6.9.4 DIT. Contrairement à ce que retenait le jugement d'appel du 22 mai 2014, aucune contravention à l'art. 130 LATC/VD ne pouvait être retenue s'agissant du gainage des conduits. L'autorité précédente a en revanche estimé que la partie du conduit extérieur passant par un avant-toit était soumise à l'exigence posée par la norme 6.9.5 DIT. Elle a jugé que le jugement de première instance était manifestement inexacte au sens de l' art. 398 al. 4 CPP sur ce point, le premier juge n'ayant procédé à aucun constat sur la présence de matériau incombustible dans les espaces vides, d'une largeur de 5 cm, tout autour du conduit. L'autorité précédente a par conséquent complété les faits sur ce point, se référant à des pièces au dossier, puis refusé les mesures d'instruction requises, estimant que le constat du maître-ramoneur avait une valeur probante entière et n'était infirmé par aucune autre constatation au dossier. Les recourants devaient par conséquent être condamnés pour contravention à l'art. 130 LATC/VD pour n'avoir pas respecté les conditions spéciales posées en matière de protection incendie, selon la DIT, faisant partie intégrante du permis de construire délivré le 21 février 2008, en particulier la norme 6.9.5 al. 3 DIT, pour l'absence d'obturation des espaces vides au moyen de matériau incombustible au passage du toit.</w:t>
      </w:r>
    </w:p>
    <w:p>
      <w:r>
        <w:rPr>
          <w:b/>
        </w:rPr>
        <w:t>E. 1.3</w:t>
      </w:r>
    </w:p>
    <w:p>
      <w:r>
        <w:t>La norme 6.9.5 al. 3 DIT - retenue par l'autorité d'appel pour confirmer la condamnation des recourants en vertu de l'art. 130 LATC/VD s'agissant des conduits de fumée - ne figurait pas dans l'ordonnance pénale. Les recourants invoquent à cet égard notamment une violation de leur droit d'être entendus.</w:t>
      </w:r>
    </w:p>
    <w:p>
      <w:r>
        <w:rPr>
          <w:b/>
        </w:rPr>
        <w:t>E. 1.3.1</w:t>
      </w:r>
    </w:p>
    <w:p>
      <w:r>
        <w:t>On comprend de l'argumentation des recourants qu'ils invoquent une violation du principe d'accusation. Ce principe, consacré par l' art. 9 CPP , lequel ne s'applique ici qu'en tant que droit cantonal supplétif s'agissant d'une infraction de droit cantonal, découle aussi de l' art. 29 al. 2 Cst. (droit d'être entendu). Selon ce principe, l'acte d'accusation définit l'objet du procès et sert également à informer le prévenu (fonction de délimitation et d'information, cf. ATF 140 IV 188 consid. 1.3 p. 190). Ainsi d'une part le tribunal est lié par l'état de fait décrit dans l'acte d'accusation (principe de l'immutabilité de l'acte d'accusation). D'autre part,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(cf. ATF 140 IV 188 consid. 1.3 p. 190).</w:t>
      </w:r>
    </w:p>
    <w:p>
      <w:r>
        <w:rPr>
          <w:b/>
        </w:rPr>
        <w:t>E. 1.3.2</w:t>
      </w:r>
    </w:p>
    <w:p>
      <w:r>
        <w:t>En l'espèce, les ordonnances pénales du 18 décembre 2012, valant actes d'accusation, étaient succinctes. Elles prenaient toutefois soin de préciser, s'agissant des conduits, la norme DIT selon elles violée. Elles ne mentionnaient toutefois que la norme 6.9.2 DIT et la norme 6.9.4 DIT, celle-ci étant toutefois jugée non applicable, et non la disposition distincte qu'était la norme 6.9.5 DIT. Elles ne contenaient de plus aucune mention de la nécessité d'un enchevêtrement ni aucun reproche s'agissant de l'absence d'un tel enchevêtrement, prescrit dans certaines situations par la norme 6.9.5 DIT. Les recourants devaient ainsi comprendre qu'il leur était reproché de n'avoir pas respecté la norme 6.9.2 DIT, traitant de la résistance nécessaire des conduits de fumée et gaines de ces conduits (al. 1 et 4) et de l'exigence de compartimentage au sein de la même gaine (al. 2 et 3). Ils ne devaient en revanche pas en déduire qu'il leur était également reproché une violation de la norme 6.9.5 al. 3 DIT traitant de l'enchevêtrement nécessaire autour du conduit. La seule référence au refus " d'exécuter les conditions du permis de construire et les mises en conformité ", qui ne mentionnaient pas cette norme, n'est à cet égard pas suffisante pour retenir que les recourants auraient dû comprendre en lisant l'ordonnance pénale qu'ils étaient également poursuivis pour violation de l'art. 6.9.5 al. 3 DIT. Cette interprétation des ordonnances pénales est corroborée par le jugement de première instance, qui n'analysait s'agissant des conduits que leur conformité à la norme 6.9.4 DIT et ne se posait pas la question d'un enchevêtrement nécessaire. Il en est de même des réquisitions formulées par les recourants devant l'instance précédente dont celle-ci relève qu'elles ne portaient que sur la problématique des conduits en façade et des exigences en matière de résistance au feu, et non sur l'enchevêtrement nécessaire (jugement entrepris, p. 9 i. f.). Dès lors, l'autorité précédente, après avoir constaté que les reproches formulés à l'encontre des recourants par les ordonnances pénales étaient injustifiés s'agissant des conduits de fumée, aurait dû les acquitter sur ce point et non tenter de maintenir une condamnation en se fondant sur des faits et reproches ne résultant pas des ordonnances pénales. En confirmant la condamnation des recourants en retenant une violation par eux de la norme 6.9.5 DIT, l'autorité d'appel a violé le principe d'accusation et le droit d'être entendus des recourants. L'autorité d'appel a conclu à la violation par les recourants des " conditions spéciales posées en matière de protection incendie, selon les directive AEAI ". Elle ne retenait toutefois à la charge des recourants qu'une violation de l'art. 6.9.5 al. 3 DIT, intenable pour les motifs qui précèdent.</w:t>
      </w:r>
    </w:p>
    <w:p>
      <w:r>
        <w:rPr>
          <w:b/>
        </w:rPr>
        <w:t>E. 2</w:t>
      </w:r>
    </w:p>
    <w:p>
      <w:r>
        <w:t>Il s'ensuit que le recours doit être admis. Il convient d'annuler le jugement attaqué et de prononcer l'acquittement des recourants, en application de l' art. 107 al. 2 LTF , de l'accusation de violation de l'art. 130 LATC/VD en ce qui concerne la conformité des conduits de fumée aux directives de protection incendie. La cause est renvoyée à l'autorité précédente pour nouvelle fixation de l'amende et de la peine privative de liberté de substitution ainsi que pour nouvelle décision sur la requête en indemnisation. Les recourants, qui obtiennent gain de cause, peuvent prétendre à une indemnité de dépens à la charge du canton de Vaud ( art. 68 al. 1 et 2 LTF ). Le présent arrêt est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