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6B_941/2021 vom 9. März 2022</w:t>
      </w:r>
    </w:p>
    <w:p>
      <w:r>
        <w:t>Bundesgericht, 2022-03-09, FR</w:t>
      </w:r>
    </w:p>
    <w:p>
      <w:r>
        <w:rPr>
          <w:b/>
        </w:rPr>
        <w:t xml:space="preserve">Quelle: </w:t>
      </w:r>
      <w:r>
        <w:t>https://mcp.opencaselaw.ch/entscheid/bger_6B_941_2021</w:t>
      </w:r>
    </w:p>
    <w:p>
      <w:r>
        <w:t>FR: TF 6B_941/2021 du 9 mars 2022</w:t>
      </w:r>
    </w:p>
    <w:p>
      <w:r>
        <w:t>IT: TF 6B_941/2021 del 9 marzo 2022</w:t>
      </w:r>
    </w:p>
    <w:p>
      <w:pPr>
        <w:pStyle w:val="Heading2"/>
      </w:pPr>
      <w:r>
        <w:t>Erwägungen</w:t>
      </w:r>
    </w:p>
    <w:p>
      <w:r>
        <w:rPr>
          <w:b/>
        </w:rPr>
        <w:t>E. 1</w:t>
      </w:r>
    </w:p>
    <w:p>
      <w:r>
        <w:t>Dans la mesure où les pièces produites par le recourant ne figurent pas déjà à la procédure, elles sont nouvelles, partant irrecevables ( art. 99 al. 1 LTF ).</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2.1</w:t>
      </w:r>
    </w:p>
    <w:p>
      <w:r>
        <w:t>Lorsque la partie plaignante se plaint d'infractions distinctes, elle doit mentionner, par rapport à chacune d'elles, en quoi consiste son dommage (arrêts 6B_670/2021 du 7 décembre 2021 consid. 2.1; 6B_942/2021 du 8 novembre 2021 consid. 2.1).</w:t>
      </w:r>
    </w:p>
    <w:p>
      <w:r>
        <w:rPr>
          <w:b/>
        </w:rPr>
        <w:t>E. 2.2</w:t>
      </w:r>
    </w:p>
    <w:p>
      <w:r>
        <w:t>En l'espèce, le recourant expose avoir subi un dommage de 32'400 fr., correspondant au montant des contributions d'entretien prétendument indues versées à la mère de ses enfants sur une période de neuf mois, plus les intérêts moratoires. Selon lui, le courrier produit par l'intimée, qu'il qualifie de faux, aurait visé à influencer la décision du Juge de paix du district de Lausanne relative à la fixation du droit de garde et du droit de visite du 25 juin 2020. La garde de ses enfants a été attribuée à la mère par cette décision, ce qui aurait permis à l'avocate (l'intimée), agissant au nom de sa cliente, de déposer une requête de conciliation et une requête de mesures provisionnelles auprès du Président du Tribunal de l'arrondissement de Lausanne concluant à ce qu'il soit astreint au versement d'une pension mensuelle de 3'600 fr. depuis le 1er décembre 2020. Le point de savoir si les prétentions civiles constituent un dommage directement en lien avec les infractions en cause peut demeurer indécis au vu du sort du recours s'agissant de cet aspect de la cause.</w:t>
      </w:r>
    </w:p>
    <w:p>
      <w:r>
        <w:rPr>
          <w:b/>
        </w:rPr>
        <w:t>E. 3</w:t>
      </w:r>
    </w:p>
    <w:p>
      <w:r>
        <w:t>Le recourant se plaint d'une violation de l' art. 310 CPP et du principe "</w:t>
      </w:r>
    </w:p>
    <w:p>
      <w:r>
        <w:t>in dubio pro duriore ", ainsi que d'une violation des art. 251 et 146 CP .</w:t>
      </w:r>
    </w:p>
    <w:p>
      <w:r>
        <w:rPr>
          <w:b/>
        </w:rPr>
        <w:t>E. 3.1</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w:t>
      </w:r>
    </w:p>
    <w:p>
      <w:r>
        <w:t>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w:t>
      </w:r>
    </w:p>
    <w:p>
      <w:r>
        <w:t>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w:t>
      </w:r>
    </w:p>
    <w:p>
      <w:r>
        <w:t>in dubio pro duriore , soit sur la base de faits clairs ( ATF 143 IV 241 consid. 2.3.2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w:t>
      </w:r>
    </w:p>
    <w:p>
      <w:r>
        <w:t>in dubio pro duriore ( ATF 143 IV 241 consid. 2.3.3), si l'autorité précédente a arbitrairement jugé la situation probatoire claire ou a admis arbitrairement que certains faits étaient clairement établis ( ATF 143 IV 241 consid. 2.3.2).</w:t>
      </w:r>
    </w:p>
    <w:p>
      <w:r>
        <w:rPr>
          <w:b/>
        </w:rPr>
        <w:t>E. 3.2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w:t>
      </w:r>
    </w:p>
    <w:p>
      <w:r>
        <w:t>in dubio pro duriore . Celui-ci découle du principe de la légalité (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w:t>
      </w:r>
    </w:p>
    <w:p>
      <w:r>
        <w:rPr>
          <w:b/>
        </w:rPr>
        <w:t>E. 3.3.1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 art. 110 al. 4 CP ).</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144 IV 13 consid. 2.2.2).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 ATF 142 IV 119 consid. 2.2 et les références citées).</w:t>
      </w:r>
    </w:p>
    <w:p>
      <w:r>
        <w:t>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 ATF 141 IV 369 consid. 7.4; 135 IV 12 consid. 2.2). Par ailleurs, l' art. 251 CP exige un dessein spécial, à savoir que l'auteur agisse afin de porter atteinte aux intérêts pécuniaires ou aux droits d'autrui ou de se procurer ou de procurer à un tiers un avantage illicite ( ATF 141 IV 369 consid. 7.4; 138 IV 130 consid. 3.2.4).</w:t>
      </w:r>
    </w:p>
    <w:p>
      <w:r>
        <w:rPr>
          <w:b/>
        </w:rPr>
        <w:t>E. 3.3.2</w:t>
      </w:r>
    </w:p>
    <w:p>
      <w:r>
        <w:t>Selon la cour cantonale, le rapport médical du 14 janvier 2020 ne mentionnait pas qu'un document était joint en annexe. De plus, la photographie litigieuse montrait l'enfant devant une glace dans une salle de bain. Il apparaissait clairement qu'il ne s'agissait pas d'une photographie médicale. Enfin, le courrier de l'intimée du 18 juin 2020 ne détaillait pas et ne faisait pas expressément le lien entre ces deux documents. Partant, la cour cantonale a retenu que les conditions d'application de l' art. 251 CP n'étaient pas remplies. Une simple vérification de ces pièces était suffisante pour ne pas y attacher une crédibilité accrue, car même si le certificat médical d'un établissement hospitalier pouvait avoir cette portée, tel ne serait assurément pas le cas d'une photographie annexée dont il ressort manifestement qu'elle n'avait pas été prise par un médecin dans le cadre d'une consultation professionnelle.</w:t>
      </w:r>
    </w:p>
    <w:p>
      <w:r>
        <w:rPr>
          <w:b/>
        </w:rPr>
        <w:t>E. 3.3.3</w:t>
      </w:r>
    </w:p>
    <w:p>
      <w:r>
        <w:t>En substance, le recourant soutient que la falsification n'était pas grossière et que même si cela avait été le cas, l'infraction de faux dans les titres pouvait également être réalisée en cas de falsification maladroite et facilement reconnaissable. En l'espèce, il ne fait pas de doute que le certificat médical d'un établissement hospitalier constitue un titre au sens de l' art. 110 al. 4 CP . On comprend que le recourant suggère que ce certificat aurait été falsifié par l'ajout d'une photographie. Dans cette configuration, il aurait été question d'un faux matériel. Bien qu'une falsification d'un titre puisse consister en un ajout, un tel ajout fait défaut</w:t>
      </w:r>
    </w:p>
    <w:p>
      <w:r>
        <w:t>in casu . En effet, il ressort de l'arrêt attaqué que la photographie litigieuse n'avait aucunement été mise en lien avec le rapport médical dans le courrier de l'avocate. La photographie litigieuse n'avait rien d'une photographie médicale et le courrier faisait mention de deux éléments, à savoir " un rapport établi par le CHUV le 14 janvier dernier, ainsi qu'un cliché photographique de l'enfant ". Ainsi, rien ne permettait de retenir que la photographie aurait été ajoutée au rapport médical. Le rapport médical n'a donc pas été matériellement falsifié.</w:t>
      </w:r>
    </w:p>
    <w:p>
      <w:r>
        <w:t>Au surplus, le recourant semble insinuer que la photographie aurait été " tronquée " et serait ainsi un faux dans les titres. Outre que rien dans l'arrêt attaqué ne permet de retenir que la photographie aurait été falsifiée par son auteur, il convient - dans cette hypothèse - de souscrire au raisonnement de la cour cantonale, selon laquelle la photographie était de toute manière dénuée de valeur probante accrue.</w:t>
      </w:r>
    </w:p>
    <w:p>
      <w:r>
        <w:t>Partant, les éléments constitutifs de l'infraction de faux dans les titres n'étaient manifestement pas réunis.</w:t>
      </w:r>
    </w:p>
    <w:p>
      <w:r>
        <w:rPr>
          <w:b/>
        </w:rPr>
        <w:t>E. 3.4.1</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au procès constitue un cas particulier d'escroquerie. Elle consiste à tromper astucieusement le juge aux fins de le déterminer à rendre une décision - matériellement fausse - préjudiciable au patrimoine de la partie adverse ou d'un tiers ( ATF 122 IV 197 consid. 2; arrêts 6B_1110/2021 du 11 janvier 2022 consid. 3.2; 6B_844/2020 du 24 mars 2021 consid. 2.3.2; 6B_351/2020 du 25 novembre 2020 consid. 3.3.2). L'escroquerie au procès tombe sous le coup de l' art. 146 CP moyennant la réalisation de l'ensemble des éléments constitutifs objectifs et subjectifs de cette disposition. La typicité se conçoit sans réelle particularité ( ATF 122 IV 197 consid. 2d p. 203; arrêt 6B_751/2018 du 2 octobre 2019 consid. 1.4.3). La figure de l'escroquerie au procès peut être envisagée, lorsque l'auteur trompe astucieusement le juge lors du procès, par exemple en produisant de faux documents.</w:t>
      </w:r>
    </w:p>
    <w:p>
      <w:r>
        <w:rPr>
          <w:b/>
        </w:rPr>
        <w:t>E. 3.4.2</w:t>
      </w:r>
    </w:p>
    <w:p>
      <w:r>
        <w:t>Sous l'angle de l' art. 146 CP , contrairement à ce qu'avait considéré la procureure, la cour cantonale a retenu que si le montage dont se plaignait le recourant était avéré, ses conséquences pécuniaires seraient bien réelles et suffisamment directes pour être prises en compte, car la décision qu'il entendait influencer aurait également une incidence sur la question des contributions d'entretien. Toutefois, selon la cour cantonale, tant la lecture du courrier de l'intimée du 18 juin 2020, qui ne faisait pas formellement de lien entre le rapport médical du 14 janvier 2020 et la photographie annexée, que l'ordonnance de mesures provisionnelles du 25 juin 2020, qui ne s'arrêtait pas particulièrement sur ces pièces ne permettent de distinguer un montage astucieux qui aurait eu pour but d'influencer le juge. La cour cantonale relève que certes le rapport médical et la photographie litigieuse étaient annexés au même courrier, mais que même dans l'hypothèse où l'on pourrait y voir une volonté de manipulation, ce qui n'était pas avéré, il n'y aurait de toute façon pas suffisamment d'éléments pour considérer qu'il y aurait eu escroquerie au procès.</w:t>
      </w:r>
    </w:p>
    <w:p>
      <w:r>
        <w:rPr>
          <w:b/>
        </w:rPr>
        <w:t>E. 3.4.3</w:t>
      </w:r>
    </w:p>
    <w:p>
      <w:r>
        <w:t>Le recourant affirme que le courrier litigieux constituait un faux dans les titres et qu'il aurait eu pour but de convaincre la justice des " fausses " accusations portées contre lui. Pour ce faire, il se fonde notamment sur une pièce nouvellement produite et irrecevable (cf. consid. 1). On comprend que, selon le recourant, la production de ce titre constituerait la tromperie astucieuse. Or, comme vu ci-dessus (cf. consid. 3.3.3), l'accusation de faux dans les titres portée à l'encontre de l'intimée n'était pas fondée.</w:t>
      </w:r>
    </w:p>
    <w:p>
      <w:r>
        <w:rPr>
          <w:b/>
        </w:rPr>
        <w:t>E. 3.4.4</w:t>
      </w:r>
    </w:p>
    <w:p>
      <w:r>
        <w:t>Pour autant qu'on le comprenne, le recourant prétend encore que l'intimée aurait volontairement induit la justice en erreur, car sachant que la photographie était " tronquée ", elle aurait pourtant écrit dans son courrier du 18 juin 2020 que ces éléments étaient potentiellement déjà en possession de la justice de paix. Son exposé est appellatoire, partant irrecevable.</w:t>
      </w:r>
    </w:p>
    <w:p>
      <w:r>
        <w:rPr>
          <w:b/>
        </w:rPr>
        <w:t>E. 3.4.5</w:t>
      </w:r>
    </w:p>
    <w:p>
      <w:r>
        <w:t>Pour le surplus, c'est en vain que le recourant critique l'absence d'autres mesures d'instruction, notamment son audition, celle de son fils et de la mère de celui-ci. En effet, il ne ressort pas de l'arrêt attaqué - et le recourant ne le prétend pas non plus - qu'un tel grief aurait été soulevé devant la cour cantonale (cf. art. 80 al. 1 LTF ), ni que celle-ci aurait rejeté des moyens de preuve requis par le recourant.</w:t>
      </w:r>
    </w:p>
    <w:p>
      <w:r>
        <w:rPr>
          <w:b/>
        </w:rPr>
        <w:t>E. 3.4.6</w:t>
      </w:r>
    </w:p>
    <w:p>
      <w:r>
        <w:t>En définitive, on ne voit pas en quoi le comportement de l'intimée serait susceptible d'être constitutif d'une escroquerie au sens de l' art. 146 CP . Infondé, le grief du recourant est rejeté, dans la mesure de sa recevabilité.</w:t>
      </w:r>
    </w:p>
    <w:p>
      <w:r>
        <w:rPr>
          <w:b/>
        </w:rPr>
        <w:t>E. 3.5</w:t>
      </w:r>
    </w:p>
    <w:p>
      <w:r>
        <w:t>Au vu de ce qui précède, c'est sans violer le droit fédéral que la cour cantonale a confirmé le refus d'entrer en matière du ministère public.</w:t>
      </w:r>
    </w:p>
    <w:p>
      <w:r>
        <w:rPr>
          <w:b/>
        </w:rPr>
        <w:t>E. 4</w:t>
      </w:r>
    </w:p>
    <w:p>
      <w:r>
        <w:t>Le recours doit être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