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6B_941/2017 vom 29. Dezember 2017</w:t>
      </w:r>
    </w:p>
    <w:p>
      <w:r>
        <w:t>Bundesgericht, 2017-12-29, FR</w:t>
      </w:r>
    </w:p>
    <w:p>
      <w:r>
        <w:rPr>
          <w:b/>
        </w:rPr>
        <w:t xml:space="preserve">Quelle: </w:t>
      </w:r>
      <w:r>
        <w:t>https://mcp.opencaselaw.ch/entscheid/bger_6B_941_2017</w:t>
      </w:r>
    </w:p>
    <w:p>
      <w:r>
        <w:t>FR: TF 6B_941/2017 du 29 décembre 2017</w:t>
      </w:r>
    </w:p>
    <w:p>
      <w:r>
        <w:t>IT: TF 6B_941/2017 del 29 dicembre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21 juillet 2017, la Chambre des recours pénale du Tribunal cantonal vaudois a déclaré irrecevables la demande de récusation formée par X.________ contre tous les magistrats vaudois, ainsi que son recours contre l'ordonnance de non-entrée en matière rendue le 10 mai 2017 sur sa plainte contre un inspecteur de la police de sûreté vaudoise pour " abus de pouvoir en bande organisée ", lui reprochant divers manquements d'instruction dans l'affaire A.________.</w:t>
      </w:r>
    </w:p>
    <w:p>
      <w:r>
        <w:rPr>
          <w:b/>
        </w:rPr>
        <w:t>E. 2</w:t>
      </w:r>
    </w:p>
    <w:p>
      <w:r>
        <w:t>X.________ recourt en matière pénale au Tribunal fédéral contre l'arrêt cantonal.</w:t>
      </w:r>
    </w:p>
    <w:p>
      <w:r>
        <w:rPr>
          <w:b/>
        </w:rPr>
        <w:t>E. 2.1</w:t>
      </w:r>
    </w:p>
    <w:p>
      <w:r>
        <w:t>Dans ce cadre, il requiert la récusation en bloc de tous les magistrats du Tribunal fédéral. La jurisprudence admet qu'une juridiction dont la récusation est demandée en corps écarte elle-même la requête lorsque celle-ci est abusive ou manifestement mal fondée ( ATF 129 III 445 consid. 4.2.2 p. 464). Le recourant, qui invoque une prétendue inimitié des magistrats fédéraux à son encontre ainsi qu'une précédente récusation des membres de la Cour de droit pénal survenue en octobre 2010 dans le cadre de la procédure 6B_819/2010, se borne à récuser ainsi sans discernement l'ensemble des magistrats actuels du Tribunal fédéral. La présente requête de récusation se révèle manifestement abusive.</w:t>
      </w:r>
    </w:p>
    <w:p>
      <w:r>
        <w:rPr>
          <w:b/>
        </w:rPr>
        <w:t>E. 2.2</w:t>
      </w:r>
    </w:p>
    <w:p>
      <w:r>
        <w:t>Le recourant, qui évoque principalement des arguments de fond, ne démontre pas en quoi le prononcé d'irrecevabilité frappant son écriture cantonale violerait le droit. A défaut, son argumentaire est clairement insuffisant au regard des exigences minimales de motivation d'un recours en matière pénale au Tribunal fédéral (cf. art. 42 al. 1-2 et art. 106 al. 2 LTF ).</w:t>
      </w:r>
    </w:p>
    <w:p>
      <w:r>
        <w:rPr>
          <w:b/>
        </w:rPr>
        <w:t>E. 3</w:t>
      </w:r>
    </w:p>
    <w:p>
      <w:r>
        <w:t>Sur le vu de ce qui précède, le recours doit être écarté en application de la procédure simplifiée prévue à l' art. 108 al. 1 let. b LTF . Comme les conclusions de celui-ci étaient dépourvues de chances de succès, l'assistance judiciaire ne peut être accordée ( art. 64 al. 1 LTF ). Le recourant, qui succombe, supporte les frais judiciaires ( art. 66 al. 1 LTF ), réduits afin de tenir compte de sa situation financière qui n'apparaît pas favorable.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