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6B_941/2008 vom 6. Januar 2009</w:t>
      </w:r>
    </w:p>
    <w:p>
      <w:r>
        <w:t>Bundesgericht, 2009-01-06, FR</w:t>
      </w:r>
    </w:p>
    <w:p>
      <w:r>
        <w:rPr>
          <w:b/>
        </w:rPr>
        <w:t xml:space="preserve">Quelle: </w:t>
      </w:r>
      <w:r>
        <w:t>https://mcp.opencaselaw.ch/entscheid/bger_6B_941_2008</w:t>
      </w:r>
    </w:p>
    <w:p>
      <w:r>
        <w:t>FR: TF 6B_941/2008 du 6 janvier 2009</w:t>
      </w:r>
    </w:p>
    <w:p>
      <w:r>
        <w:t>IT: TF 6B_941/2008 del 6 gennaio 2009</w:t>
      </w:r>
    </w:p>
    <w:p>
      <w:pPr>
        <w:pStyle w:val="Heading2"/>
      </w:pPr>
      <w:r>
        <w:t>Erwägungen</w:t>
      </w:r>
    </w:p>
    <w:p>
      <w:r>
        <w:rPr>
          <w:b/>
        </w:rPr>
        <w:t>E. 1</w:t>
      </w:r>
    </w:p>
    <w:p>
      <w:r>
        <w:t>Seules ont qualité pour former un recours en matière pénale ou un recours constitutionnel subsidiaire au Tribunal fédéral les personnes qui justifient d'un intérêt juridique à l'annulation ou à la modification de la décision attaquée (cf. art. 81 al. 1 let. b et 115 let. b LTF,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sous réserve d'exceptions découlant de la LAVI et de la CEDH, le seul à pouvoir remettre en cause une décision favorable au prévenu. S'il n'a pas qualité de victime au sens de l' art. 1 LAVI et s'il ne se plaint pas d'une violation de son droit à une enquête officielle approfondie et effective, découlant de l' art. 3 CEDH , le lésé ne peut recourir que pour se plaindre de la violation d'un droit formel que la loi de procédure applicable lui attribue en sa qualité de partie au procès ou parce qu'on lui aurait dénié à tort le droit de porter plainte (cf. art. 81 al. 1 let. b ch. 5 et 6 LTF; ATF 133 IV 228 et les références).</w:t>
      </w:r>
    </w:p>
    <w:p>
      <w:r>
        <w:t>Dans le cas présent, la recourante, qui dénonce des faits de nature purement économique, a exclusivement qualité pour invoquer la violation de droits procéduraux.</w:t>
      </w:r>
    </w:p>
    <w:p>
      <w:r>
        <w:rPr>
          <w:b/>
        </w:rPr>
        <w:t>E. 1.2</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formels dont le lésé peut invoquer la violation devant le Tribunal fédéral doivent être entièrement séparés du fond. Ainsi, le lésé peut faire valoir que l'autorité cantonale a refusé à tort d'entrer en matière sur le recours dont il l'avait saisie, qu'elle ne lui a pas donné l'occasion de s'exprimer, qu'elle ne lui a pas donné l'occasion de formuler des réquisitions tendant à l'administration de preuves ou, encore, qu'elle ne lui a pas donné accès au dossier. Mais, faute d'avoir qualité pour recourir sur le fond, le lésé ne peut contester ni l'appréciation des preuves, ni le rejet d'une réquisition motivé par une appréciation anticipée de la preuve requise ou par le défaut de pertinence du fait à établir (cf. arrêt non publié 6B_480/2007 du 31 janvier 2008 consid. 1.3 et les références, notamment ATF 120 Ia 157 consid. 2a/bb p. 160).</w:t>
      </w:r>
    </w:p>
    <w:p>
      <w:r>
        <w:t>En l'espèce, la recourante se borne à critiquer l'appréciation anticipée des preuves, ainsi que l'appréciation juridique des faits au regard de la loi pénale de fond, qui ont conduit la cour cantonale à confirmer le refus du Procureur général d'ordonner de plus amples mesures d'instruction. Alors qu'elle est sans qualité pour ce faire, elle s'en prend donc exclusivement au fond de la décision de classement. Partant, son recours est manifestement irrecevable ( art. 108 al. 1 let. a LTF ).</w:t>
      </w:r>
    </w:p>
    <w:p>
      <w:r>
        <w:rPr>
          <w:b/>
        </w:rPr>
        <w:t>E. 2</w:t>
      </w:r>
    </w:p>
    <w:p>
      <w:r>
        <w:t>La recourante, qui succombe, doit supporter les frais de justice ( art. 64 al. 1 LTF ), réduits à 800 fr. lorsque l'arrêt est rendu par un juge unique.</w:t>
      </w:r>
    </w:p>
    <w:p>
      <w:r>
        <w:rPr>
          <w:b/>
        </w:rPr>
        <w:t>E. 3</w:t>
      </w:r>
    </w:p>
    <w:p>
      <w:r>
        <w:t>La cause étant ainsi jugée, il n'y a pas lieu de statuer sur la requête d'effet suspensif, qui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