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939/2019 vom 17. September 2019</w:t>
      </w:r>
    </w:p>
    <w:p>
      <w:r>
        <w:t>Bundesgericht, 2019-09-17, FR</w:t>
      </w:r>
    </w:p>
    <w:p>
      <w:r>
        <w:rPr>
          <w:b/>
        </w:rPr>
        <w:t xml:space="preserve">Quelle: </w:t>
      </w:r>
      <w:r>
        <w:t>https://mcp.opencaselaw.ch/entscheid/bger_6B_939_2019</w:t>
      </w:r>
    </w:p>
    <w:p>
      <w:r>
        <w:t>FR: TF 6B 939/2019 du 17 septembre 2019</w:t>
      </w:r>
    </w:p>
    <w:p>
      <w:r>
        <w:t>IT: TF 6B 939/2019 del 17 settembre 2019</w:t>
      </w:r>
    </w:p>
    <w:p>
      <w:pPr>
        <w:pStyle w:val="Heading2"/>
      </w:pPr>
      <w:r>
        <w:t>Regeste</w:t>
      </w:r>
    </w:p>
    <w:p>
      <w:r>
        <w:t>Irrecevabilité du recours en matière pénale | Droit pénal (en général)</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Ainsi, l'existence d'un intérêt de pur fait ou la simple perspective d'un intérêt juridique futur ne suffit pas ( ATF 144 IV 81 consid. 2.3.1 p. 85).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6B_362/2019 du 21 mai 2019 consid. 1.1; 6B_955/2018 du 9 novembre 2018 consid. 1.2; 6B_842/2016 du 10 mai 2017 consid. 2.1).</w:t>
      </w:r>
    </w:p>
    <w:p>
      <w:r>
        <w:rPr>
          <w:b/>
        </w:rPr>
        <w:t>E. 1.2</w:t>
      </w:r>
    </w:p>
    <w:p>
      <w:r>
        <w:t>En l'espèce, il ressort de l'arrêt attaqué que la sanction disciplinaire infligée au recourant a été exécutée le jour de la notification de la décision du 25 octobre 2018. On ne perçoit donc pas de quel intérêt juridique actuel le recourant pourrait désormais se prévaloir pour critiquer cette sanction disciplinaire, celui-ci restant muet sur ce point. En particulier, le recourant ne prétend pas - au moyen d'une argumentation topique (cf. art. 106 al. 2 LTF ; ATF 137 I 296 consid. 4.3.4 p. 302) -, que l'exécution de sa sanction disciplinaire aurait pu entraîner une violation de l' art. 5 CEDH , ni ne requiert une quelconque indemnité à cet égard.</w:t>
      </w:r>
    </w:p>
    <w:p>
      <w:r>
        <w:rPr>
          <w:b/>
        </w:rPr>
        <w:t>E. 1.3</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137 I 23 consid. 1.3.1 p. 25; 136 II 101 consid. 1.1 p. 103). En l'occurrence, le recourant conclut à ce qu'il soit reconnu que l'exécution de sa sanction disciplinaire ne pouvait intervenir "si le droit de recours était formellement indiqué sur le prononcé de la sanction". On comprend de la motivation du recourant qu'il se plaint en réalité de l'absence d'effet suspensif de son recours contre la décision du 25 octobre 2018. Sur ce point, l'autorité précédente a indiqué que le droit cantonal applicable n'imposait pas l'octroi de l'effet suspensif à un recours formé contre une sanction disciplinaire mais laissait simplement à l'autorité de recours la possibilité d'assortir celui-ci d'un tel effet. Elle a cependant relevé qu'il y avait eu, en l'espèce, un "vice de procédure", car l'exécution de la sanction disciplinaire était intervenue "extrêmement vite, alors qu'il n'y avait aucune urgence", tandis que l'autorité de recours n'avait "pas eu la possibilité de se prononcer sur cette question". Il ressort donc de l'arrêt attaqué que l'exécution de la sanction n'aurait, selon la cour cantonale, pas dû intervenir avant que le SPEN se prononçât sur la question de l'effet suspensif. Par conséquent, il n'apparaît pas que la contestation du recourant en la matière pourrait se reproduire en tout temps dans des circonstances identiques ou analogues, ni que sa nature ne permettrait pas de la trancher avant qu'elle perde son actualité.</w:t>
      </w:r>
    </w:p>
    <w:p>
      <w:r>
        <w:rPr>
          <w:b/>
        </w:rPr>
        <w:t>E. 1.4</w:t>
      </w:r>
    </w:p>
    <w:p>
      <w:r>
        <w:t>En définitive, le recourant ne dispose pas d'un intérêt juridique à l'annulation ou à la modification de la décision attaquée, de sorte que son recours est irrecevable.</w:t>
      </w:r>
    </w:p>
    <w:p>
      <w:r>
        <w:rPr>
          <w:b/>
        </w:rPr>
        <w:t>E. 2</w:t>
      </w:r>
    </w:p>
    <w:p>
      <w:r>
        <w:t>Le recours est irrecevable. Le recourant, qui succombe, supporte les frais judiciaires ( art. 66 al. 1 LTF ), qui seront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