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6B_939/2016 vom 6. Juli 2017</w:t>
      </w:r>
    </w:p>
    <w:p>
      <w:r>
        <w:t>Bundesgericht, 2017-07-06, FR</w:t>
      </w:r>
    </w:p>
    <w:p>
      <w:r>
        <w:rPr>
          <w:b/>
        </w:rPr>
        <w:t xml:space="preserve">Quelle: </w:t>
      </w:r>
      <w:r>
        <w:t>https://mcp.opencaselaw.ch/entscheid/bger_6B_939_2016</w:t>
      </w:r>
    </w:p>
    <w:p>
      <w:r>
        <w:t>FR: TF 6B_939/2016 du 6 juillet 2017</w:t>
      </w:r>
    </w:p>
    <w:p>
      <w:r>
        <w:t>IT: TF 6B_939/2016 del 6 luglio 2017</w:t>
      </w:r>
    </w:p>
    <w:p>
      <w:pPr>
        <w:pStyle w:val="Heading2"/>
      </w:pPr>
      <w:r>
        <w:t>Erwägungen</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qu'elle ne facilite pas son action sur le plan civil. Il faut que la décision attaquée ait pour conséquence qu'elle rencontrera plus de difficultés à faire valoir ses prétentions civiles (6B_250/2016 du 13 septembre 2016 c. 1.1 et les références citées; ATF 127 IV 185 consid. 1a p. 188).</w:t>
      </w:r>
    </w:p>
    <w:p>
      <w:r>
        <w:t>Conformément à l' art. 42 al. 1 LTF , il incombe à la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pp. 4 s.).</w:t>
      </w:r>
    </w:p>
    <w:p>
      <w:r>
        <w:rPr>
          <w:b/>
        </w:rPr>
        <w:t>E. 1.2</w:t>
      </w:r>
    </w:p>
    <w:p>
      <w:r>
        <w:t>En l'espèce, la recourante a participé à la procédure cantonale en tant que partie plaignante. Elle n'a pas pris de conclusions civiles. Dans son recours, elle expose avoir payé sous la contrainte un montant de 50'000 fr. à l'intimé et indique que ses prétentions civiles en lien avec l'infraction dénoncée sont du même montant.</w:t>
      </w:r>
    </w:p>
    <w:p>
      <w:r>
        <w:t>Il ressort des constatations de fait de la décision attaquée que la somme en question a été versée à titre d'honoraires dans un contexte de relations contractuelles. La recourante dispose d'une action civile en répétition de l'indu dans la mesure où elle estime que ce montant a été payé à tort et elle ne montre pas en quoi la décision attaquée pourrait lui être opposée dans le cadre d'une telle action. Le litige apparaît avoir uniquement un caractère civil. La décision attaquée n'est pas susceptible d'influer négativement sur le sort des prétendues prétentions civiles. La recourante n'a ainsi pas qualité pour recourir sur le fond de la cause.</w:t>
      </w:r>
    </w:p>
    <w:p>
      <w:r>
        <w:t>Pour le surplus, la recourante n'invoque d'aucune manière la violation de son droit de porter plainte (art. 81 al. 1 let. b ch. 6 LTF) pas plus qu'elle ne formule de griefs purement formels entièrement séparés du fond ( ATF 136 IV 29 consid. 1.9 et les références citées). Partant, son recours doit être déclaré irrecevable, faute de qualité pour agir, selon la procédure simplifiée prévue par l' art. 108 al. 1 let. a et b LTF .</w:t>
      </w:r>
    </w:p>
    <w:p>
      <w:r>
        <w:rPr>
          <w:b/>
        </w:rPr>
        <w:t>E. 2</w:t>
      </w:r>
    </w:p>
    <w:p>
      <w:r>
        <w:t>La recourante, qui succombe, supportera les frais de justice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