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6B_937/2016 vom 17. November 2016</w:t>
      </w:r>
    </w:p>
    <w:p>
      <w:r>
        <w:t>Bundesgericht, 2016-11-17, DE</w:t>
      </w:r>
    </w:p>
    <w:p>
      <w:r>
        <w:rPr>
          <w:b/>
        </w:rPr>
        <w:t xml:space="preserve">Quelle: </w:t>
      </w:r>
      <w:r>
        <w:t>https://mcp.opencaselaw.ch/entscheid/bger_6B_937_2016</w:t>
      </w:r>
    </w:p>
    <w:p>
      <w:r>
        <w:t>FR: TF 6B_937/2016 du 17 novembre 2016</w:t>
      </w:r>
    </w:p>
    <w:p>
      <w:r>
        <w:t>IT: TF 6B_937/2016 del 17 novembre 2016</w:t>
      </w:r>
    </w:p>
    <w:p>
      <w:pPr>
        <w:pStyle w:val="Heading2"/>
      </w:pPr>
      <w:r>
        <w:t>Erwägungen</w:t>
      </w:r>
    </w:p>
    <w:p>
      <w:r>
        <w:rPr>
          <w:b/>
        </w:rPr>
        <w:t>E. 1</w:t>
      </w:r>
    </w:p>
    <w:p>
      <w:r>
        <w:t>Der Beschwerdeführer reichte am 15. Juni 2015 gegen ein Mitglied der Kinder- und Erwachsenenschutzbehörde (KESB) Oberland West und gegen den Gerichtspräsidenten des Regionalgerichts Oberland Strafanzeige u.a. wegen Amtsmissbrauchs und ungetreuer Amtsführung ein. Am 6. April 2016 nahm die Regionale Staatsanwaltschaft Oberland das Verfahren nicht an die Hand, was der leitende Staatsanwalt am 14. April 2016 genehmigte. Eine dagegen eingereichte Beschwerde wies das Obergericht des Kantons Bern am 11. Mai 2016 ab, soweit es darauf eintrat.</w:t>
      </w:r>
    </w:p>
    <w:p>
      <w:r>
        <w:t>Dagegen wendet sich der Beschwerdeführer an das Bundesgericht und beantragt sinngemäss, der angefochtene Entscheid sei aufzuheben. Es sei gemäss Art. 29 ff. BV unzulässig, dieses Strafverfahren nur mit einer Nichtanhandnahmeverfügung zu erledigen. Das Verfahren sei gerichtlich innert angemessener Frist zu beurteilen.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6B_669/2015 vom 30. Juni 2015 mit Hinweis).</w:t>
      </w:r>
    </w:p>
    <w:p>
      <w:r>
        <w:t>Der Kanton Bern regelt die Haftung für Schädigungen durch seine Mitarbeiter im Personalgesetz vom 16. September 2004 (BSG 153.01). Gemäss Art. 100 Abs. 1 haftet der Staat für den Schaden, den Mitarbeiter in Ausübung ihrer amtlichen Tätigkeit Dritten widerrechtlich zugefügt haben. Eine persönliche Haftung ist ausgeschlossen (Art. 102 Abs. 1). Ein Zivilanspruch gegen die Beanzeigten steht dem Beschwerdeführer somit nicht zu. Er ist zum vorliegenden Rechtsmittel nicht legitimiert.</w:t>
      </w:r>
    </w:p>
    <w:p>
      <w:r>
        <w:rPr>
          <w:b/>
        </w:rPr>
        <w:t>E. 3</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 Soweit der Beschwerdeführer Grundrechtsverletzungen erhebt, die sich auf dieses Verfahren beziehen, genügt seine Beschwerde den Anforderungen von Art. 106 Abs. 2 BGG nicht. Er beruft sich zwar auf die Bestimmungen von Art. 29 ff. BV , legt aber nicht konkret dar, inwiefern er dadurch geschützt und der angefochtene Entscheid dagegen verstossen sollte. Nicht ersichtlich und auch nicht dargetan ist im Übrigen, inwieweit allfällige Verfahrensverzögerungen den Entscheid in der Sache beeinflusst haben könnten.</w:t>
      </w:r>
    </w:p>
    <w:p>
      <w:r>
        <w:rPr>
          <w:b/>
        </w:rPr>
        <w:t>E. 4</w:t>
      </w:r>
    </w:p>
    <w:p>
      <w:r>
        <w:t>Auf die Beschwerde ist im Verfahren nach Art. 108 BGG nicht einzutreten. Auf eine Kostenauflage kann ausnahmsweise verzichtet werden. Damit wird das nachträglich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