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936/2021 vom 21. Februar 2022</w:t>
      </w:r>
    </w:p>
    <w:p>
      <w:r>
        <w:t>Bundesgericht, 2022-02-21, DE</w:t>
      </w:r>
    </w:p>
    <w:p>
      <w:r>
        <w:rPr>
          <w:b/>
        </w:rPr>
        <w:t xml:space="preserve">Quelle: </w:t>
      </w:r>
      <w:r>
        <w:t>https://mcp.opencaselaw.ch/entscheid/bger_6B_936_2021</w:t>
      </w:r>
    </w:p>
    <w:p>
      <w:r>
        <w:t>FR: TF 6B 936/2021 du 21 février 2022</w:t>
      </w:r>
    </w:p>
    <w:p>
      <w:r>
        <w:t>IT: TF 6B 936/2021 del 21 febbraio 2022</w:t>
      </w:r>
    </w:p>
    <w:p>
      <w:pPr>
        <w:pStyle w:val="Heading2"/>
      </w:pPr>
      <w:r>
        <w:t>Regeste</w:t>
      </w:r>
    </w:p>
    <w:p>
      <w:r>
        <w:t>Einstellung (falsches Zeugnis); Nichteintreten | Strafprozess</w:t>
      </w:r>
    </w:p>
    <w:p>
      <w:pPr>
        <w:pStyle w:val="Heading2"/>
      </w:pPr>
      <w:r>
        <w:t>Erwägungen</w:t>
      </w:r>
    </w:p>
    <w:p>
      <w:r>
        <w:rPr>
          <w:b/>
        </w:rPr>
        <w:t>E. 1</w:t>
      </w:r>
    </w:p>
    <w:p>
      <w:r>
        <w:t>Staatsanwaltschaft des Kantons Zug, Leitender Oberstaatsanwalt, An der Aa 4, 6300 Zug,</w:t>
      </w:r>
    </w:p>
    <w:p>
      <w:r>
        <w:rPr>
          <w:b/>
        </w:rPr>
        <w:t>E. 2</w:t>
      </w:r>
    </w:p>
    <w:p>
      <w:r>
        <w:t>Vor Bundesgericht anfechtbar ist nur der letztinstanzliche kantonale Entscheid ( Art. 80 Abs. 1 BGG ). Somit kann auf die Beschwerde von Vornherein nicht eingetreten werden, soweit die Beschwerdeführerin die Aufhebung der Einstellungsverfügung der Staatsanwaltschaft verlangt.</w:t>
      </w:r>
    </w:p>
    <w:p>
      <w:r>
        <w:rPr>
          <w:b/>
        </w:rPr>
        <w:t>E. 3.1</w:t>
      </w:r>
    </w:p>
    <w:p>
      <w:r>
        <w:t>Nach Art. 42 Abs. 2 BGG ist in der Begründung der Beschwerde an das Bundesgericht in gedrängter Form darzulegen, inwiefern der angefochtene Entscheid Recht verletzt. Hinsichtlich der Verletzung von Grundrechten besteht eine qualifizierte Rügepflicht ( Art. 106 Abs. 2 BGG ). Die Privatklägerschaft ist zur Beschwerde in Strafsachen nur berechtigt, wenn der angefochtene Entscheid sich auf die Beurteilung ihrer Zivilforderungen auswirken kann (Art. 81 Abs. 1 lit. b Ziff. 5 BGG). Zivilforderungen im Sinne dieser Bestimmung sind unmittelbar aus der Straftat resultierende und vor den Zivilgerichten geltend zu machende Ansprüche, in erster Linie solche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 Urteil 6B_1198/2021 vom 4. Februar 2022 E. 2).</w:t>
      </w:r>
    </w:p>
    <w:p>
      <w:r>
        <w:rPr>
          <w:b/>
        </w:rPr>
        <w:t>E. 3.2</w:t>
      </w:r>
    </w:p>
    <w:p>
      <w:r>
        <w:t>Die Beschwerdeführerin äussert sich in ihrer Beschwerde nicht dazu, inwiefern ihr aus dem beanzeigten Verhalten zivilrechtliche Ansprüche im dargestellten Sinn zustehen könnten. Dies ist angesichts der Natur des zur Anzeige gebrachten Straftatbestands auch nicht ohne Weiteres ersichtlich. Insbesondere kann der von ihr im Zivilverfahren verfolgte erbrechtliche Anspruch mit einer ihr allenfalls gegenüber dem Beschwerdegegner 2 zustehenden Forderung auf Schadenersatz infolge falschen Zeugnisses nicht als deckungsgleich angesehen werden. Die Beschwerdeführerin hätte sich daher dazu äussern müssen, welche zivilrechtlichen Forderungen sie aus dem angeblich strafbaren Verhalten des Beschwerdegegners 2 ableitet und inwiefern sich der angefochtene Beschluss auf diese auswirken könnte. Mangels entsprechender Ausführungen ist ihre Legitimation zur Beschwerde in Strafsachen in der Sache zu verneinen.</w:t>
      </w:r>
    </w:p>
    <w:p>
      <w:r>
        <w:rPr>
          <w:b/>
        </w:rPr>
        <w:t>E. 4.1</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146 IV 76 E. 2; 141 IV 1 E. 1.1 mit Hinweisen). Soweit eine Rüge zulässig ist, ist klar und detailliert darzulegen, inwieweit das angerufene Recht verletzt worden sein soll ( Art. 42 Abs. 2 und Art. 106 Abs. 2 BGG ).</w:t>
      </w:r>
    </w:p>
    <w:p>
      <w:r>
        <w:rPr>
          <w:b/>
        </w:rPr>
        <w:t>E. 4.2</w:t>
      </w:r>
    </w:p>
    <w:p>
      <w:r>
        <w:t>Die Beschwerdeführerin macht verschiedentlich eine Verletzung ihres Anspruchs auf rechtliches Gehör geltend. So habe die Vorinstanz zu Unrecht auf einen Beizug der Akten des zivilrechtlichen Verfahrens und auf die Abnahme verschiedener von ihr form- und fristgerecht angebotener Beweismittel verzichtet sowie ihre Ausführungen in der Stellungnahme vom 24. September 2020 und die von ihr als Beilagen 8 und 9 zur Strafanzeige eingereichten Beweismittel vollständig ausser Acht gelassen. Mit diesen formellen Rügen zielt sie aber im Ergebnis einzig auf eine materielle Überprüfung der Einstellungsverfügung resp. des vorinstanzlichen Beschlusses ab, was nicht zulässig ist. Auch unter diesem Titel kann folglich nicht auf die Beschwerde eingetreten werden.</w:t>
      </w:r>
    </w:p>
    <w:p>
      <w:r>
        <w:rPr>
          <w:b/>
        </w:rPr>
        <w:t>E. 5</w:t>
      </w:r>
    </w:p>
    <w:p>
      <w:r>
        <w:t>Auf die Beschwerde wird mangels hinreichender Begründung der Legitimation im Verfahren nach Art. 108 BGG nicht eingetreten.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