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936/2013 vom 14. Februar 2014</w:t>
      </w:r>
    </w:p>
    <w:p>
      <w:r>
        <w:t>Bundesgericht, 2014-02-14, FR</w:t>
      </w:r>
    </w:p>
    <w:p>
      <w:r>
        <w:rPr>
          <w:b/>
        </w:rPr>
        <w:t xml:space="preserve">Quelle: </w:t>
      </w:r>
      <w:r>
        <w:t>https://mcp.opencaselaw.ch/entscheid/bger_6B_936_2013</w:t>
      </w:r>
    </w:p>
    <w:p>
      <w:r>
        <w:t>FR: TF 6B 936/2013 du 14 février 2014</w:t>
      </w:r>
    </w:p>
    <w:p>
      <w:r>
        <w:t>IT: TF 6B 936/2013 del 14 febbraio 2014</w:t>
      </w:r>
    </w:p>
    <w:p>
      <w:pPr>
        <w:pStyle w:val="Heading2"/>
      </w:pPr>
      <w:r>
        <w:t>Regeste</w:t>
      </w:r>
    </w:p>
    <w:p>
      <w:r>
        <w:t>Refus de reprise de la procédure préliminaire | Procédure pénale</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 ATF 138 III 537 consid. 1.2 p. 539;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137 IV 219 consid. 2.4 p. 222 s.). Les considérations qui précèdent valent aussi lorsque, comme en l'espèce, la décision attaquée constitue un refus de reprise de la procédure préliminaire (cf. art. 323 CPP ).</w:t>
      </w:r>
    </w:p>
    <w:p>
      <w:r>
        <w:rPr>
          <w:b/>
        </w:rPr>
        <w:t>E. 1.2</w:t>
      </w:r>
    </w:p>
    <w:p>
      <w:r>
        <w:t>Les recourantes ne consacrent aucun développement à la question des prétentions civiles dans leur mémoire de recours au Tribunal fédéral. Il leur incombait pourtant d'exposer de manière détaillée et individuellement en quoi consistait dans son principe le dommage qu'elles prétendaient avoir chacune subi en relation avec l'infraction invoquée et quel en était le montant. L'absence d'explication suffisante sur les prétentions civiles exclut la qualité pour recourir des recourantes. Le recours est donc irrecevable en tant qu'il porte sur le fond de la cause.</w:t>
      </w:r>
    </w:p>
    <w:p>
      <w:r>
        <w:rPr>
          <w:b/>
        </w:rPr>
        <w:t>E. 1.3</w:t>
      </w:r>
    </w:p>
    <w:p>
      <w:r>
        <w:t>Indépendamment du fond de la cause, les recourantes pourraient le cas échéant être habilitées à se plaindre d'une violation de leurs droits de partie équivalant à un déni de justice formel, sans toutefois pouvoir faire valoir par ce biais, même indirectement, des moyens qui ne peuvent être séparés du fond ( ATF 136 IV 29 consid. 1.9 p. 40 et les réf. cit.). Tel que formulé, le mémoire de recours ne contient aucune critique tirée d'une violation des droits de partie. En particulier, l'argumentation présentée ne permet pas de supposer que seraient invoqués un contexte et des infractions distinctes de ceux pris en compte dans l'ordonnance de classement initiale du 5 septembre 2012, de sorte que le procureur aurait dû, comme les recourantes le laissent entendre, non pas refuser une reprise de la procédure mais prononcer un autre classement. Insuffisante au regard des art. 42 al. 2 et 106 al. 2 LTF, la motivation est irrecevable.</w:t>
      </w:r>
    </w:p>
    <w:p>
      <w:r>
        <w:rPr>
          <w:b/>
        </w:rPr>
        <w:t>E. 2</w:t>
      </w:r>
    </w:p>
    <w:p>
      <w:r>
        <w:t>Les recourantes, qui succombent, supportent les frais judiciaires ( art. 66 al. 1 LTF ), solidairement entre 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