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6B_935/2013 vom 14. Februar 2014</w:t>
      </w:r>
    </w:p>
    <w:p>
      <w:r>
        <w:t>Bundesgericht, 2014-02-14, FR</w:t>
      </w:r>
    </w:p>
    <w:p>
      <w:r>
        <w:rPr>
          <w:b/>
        </w:rPr>
        <w:t xml:space="preserve">Quelle: </w:t>
      </w:r>
      <w:r>
        <w:t>https://mcp.opencaselaw.ch/entscheid/bger_6B_935_2013</w:t>
      </w:r>
    </w:p>
    <w:p>
      <w:r>
        <w:t>FR: TF 6B_935/2013 du 14 février 2014</w:t>
      </w:r>
    </w:p>
    <w:p>
      <w:r>
        <w:t>IT: TF 6B_935/2013 del 14 febbraio 2014</w:t>
      </w:r>
    </w:p>
    <w:p>
      <w:pPr>
        <w:pStyle w:val="Heading2"/>
      </w:pPr>
      <w:r>
        <w:t>Erwägungen</w:t>
      </w:r>
    </w:p>
    <w:p>
      <w:r>
        <w:rPr>
          <w:b/>
        </w:rPr>
        <w:t>E. 1</w:t>
      </w:r>
    </w:p>
    <w:p>
      <w:r>
        <w:t>En tant que l'arrêt attaqué entre en matière sur une partie de l'appel joint et refuse l'entrée en matière sur d'autres aspects ( art. 403 CPP ), il constitue une décision partielle au sens de l' art. 91 LTF et le recours en matière pénale est ainsi ouvert pour ce qui concerne le refus d'entrer en matière (cf. NIKLAUS SCHMID, Schweizerische Strafprozessordnung, Praxiskommentar, 2</w:t>
      </w:r>
    </w:p>
    <w:p>
      <w:r>
        <w:t>e éd. 2013, n° 10 ad art. 403 CPP ).</w:t>
      </w:r>
    </w:p>
    <w:p>
      <w:r>
        <w:rPr>
          <w:b/>
        </w:rPr>
        <w:t>E. 2</w:t>
      </w:r>
    </w:p>
    <w:p>
      <w:r>
        <w:t>Invoquant une violation de l' art. 401 CPP , le recourant est d'avis que l'appel joint peut porter sur tous les points du jugement de première instance, sans limitation.</w:t>
      </w:r>
    </w:p>
    <w:p>
      <w:r>
        <w:rPr>
          <w:b/>
        </w:rPr>
        <w:t>E. 2.1</w:t>
      </w:r>
    </w:p>
    <w:p>
      <w:r>
        <w:t>L' art. 401 CPP prévoit que l'art. 399, al. 3 et 4, s'applique par analogie à l'appel joint (al. 1); l'appel joint n'est pas limité à l'appel principal, sauf si celui-ci porte exclusivement sur les conclusions civiles du jugement (al. 2); si l'appel principal est retiré ou fait l'objet d'une décision de non-entrée en matière, l'appel joint est caduc (al. 3).</w:t>
      </w:r>
    </w:p>
    <w:p>
      <w:r>
        <w:t>Au regard de l' art. 401 al. 2 CPP , la doctrine mentionne que, sous réserve d'un appel principal limité aux conclusions civiles, la partie qui formule un appel joint peut s'en prendre à tous les points du jugement de première instance (cf. MOREILLON/PAREIN-REYMOND, Petit commentaire, Code de procédure pénale, 2013, n° 13 ad art. 401 CPP ; LUZIUS EUGSTER, in Basler Kommentar, Schweizerische Strafprozessordnung, 2011, n° 2 ad art. 401 CPP ; SCHMID, op. cit., n° 8 ad art. 401 CPP ). Ce dernier auteur précise que les autres parties qui n'ont pas formé l'appel principal peuvent interjeter un appel joint aussi sur les points qui ne font pas l'objet de l'appel principal.</w:t>
      </w:r>
    </w:p>
    <w:p>
      <w:r>
        <w:rPr>
          <w:b/>
        </w:rPr>
        <w:t>E. 2.2</w:t>
      </w:r>
    </w:p>
    <w:p>
      <w:r>
        <w:t>Un courant de doctrine introduit cependant une nuance, en évoquant la situation où un jugement de première instance concerne plusieurs coprévenus. Si un seul prévenu forme appel, le ministère public ne saurait alors interjeter un appel joint pour s'en prendre aux autres coprévenus qui n'ont eux-mêmes pas entrepris d'appel, sous peine de méconnaître le caractère accessoire de l'appel joint et de contourner l'interdiction de la reformatio in pejus (cf. MARLÈNE KISTLER VIANIN, in Commentaire romand, Code de procédure pénale suisse, 2011, n° 12 ad art. 401 CPP ; PIQUEREZ/MACALUSO, Procédure pénale suisse, 3</w:t>
      </w:r>
    </w:p>
    <w:p>
      <w:r>
        <w:t>e éd. 2011, n° 2013; JO PITTELOUD, Code de procédure pénale suisse, Commentaire à l'usage des praticiens, 2012, n° 1189 p. 799).</w:t>
      </w:r>
    </w:p>
    <w:p>
      <w:r>
        <w:rPr>
          <w:b/>
        </w:rPr>
        <w:t>E. 2.3</w:t>
      </w:r>
    </w:p>
    <w:p>
      <w:r>
        <w:t>Cette dernière approche ne concerne certes pas une hypothèse identique au cas d'espèce. On peut néanmoins en déduire qu'une démarcation quant à la portée à donner à l'appel joint n'est pas exclue. Le caractère accessoire de l'appel joint implique qu'il n'a pas de portée indépendante par rapport à l'appel principal (cf. arrêt 6B_643/2010 du 7 février 2011 consid. 2.2). Par son objet, l'appel joint n'est certes pas lié à l'appel principal, conformément à ce que prévoit l' art. 401 al. 2 CPP . Son caractère accessoire impose toutefois de prendre en compte quelles parties sont aux prises et justifie une délimitation par rapport aux parties concernées. Lorsque, comme en l'espèce, l'appel principal émane d'une partie plaignante, le cadre dans lequel l'appel joint est possible sur le plan pénal se détermine en considération des infractions par lesquelles la partie plaignante est directement lésée (cf. art. 115 CPP ). Les parties concernées par l'appel principal sont ainsi définies et l'appel joint doit se situer dans ce cadre. Le prévenu ne pourrait pas contester dans un appel joint à la suite d'un appel d'une partie plaignante une infraction qui concerne une autre partie plaignante.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 Le caractère accessoire de l'appel joint serait sinon dépourvu de toute portée. Il ne faut pas perdre de vue que le ministère public est responsable de l'action publique (cf. art. 16 CPP ) et qu'il lui incombe à ce titre de former un appel principal s'il n'est pas satisfait du jugement de première instance.</w:t>
      </w:r>
    </w:p>
    <w:p>
      <w:r>
        <w:rPr>
          <w:b/>
        </w:rPr>
        <w:t>E. 2.4</w:t>
      </w:r>
    </w:p>
    <w:p>
      <w:r>
        <w:t>Il s'ensuit que l'arrêt attaqué ne viole pas le droit fédéral.</w:t>
      </w:r>
    </w:p>
    <w:p>
      <w:r>
        <w:rPr>
          <w:b/>
        </w:rPr>
        <w:t>E. 3</w:t>
      </w:r>
    </w:p>
    <w:p>
      <w:r>
        <w:t>En conclusion, le recours doit être rejeté. L'intimé Y.________ peut prétendre à des dépens à la charge de l'Etat de Fribourg ( art. 68 al. 1 LTF ). Sa requête d'assistance judiciaire est ainsi sans objet ( art. 64 al. 2 LTF ). La requête d'assistance judiciaire de l'intimée X.________ est admise. Il convient de désigner Me Jean-Christophe a Marca comme avocat d'office et d'allouer à celui-ci une indemnité à titre d'honoraires, qui sera supportée par la caisse du Tribunal fédéral ( art. 64 al. 2 LTF ).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