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6B_935/2008 vom 16. Dezember 2008</w:t>
      </w:r>
    </w:p>
    <w:p>
      <w:r>
        <w:t>Bundesgericht, 2008-12-16, FR</w:t>
      </w:r>
    </w:p>
    <w:p>
      <w:r>
        <w:rPr>
          <w:b/>
        </w:rPr>
        <w:t xml:space="preserve">Quelle: </w:t>
      </w:r>
      <w:r>
        <w:t>https://mcp.opencaselaw.ch/entscheid/bger_6B_935_2008</w:t>
      </w:r>
    </w:p>
    <w:p>
      <w:r>
        <w:t>FR: TF 6B_935/2008 du 16 décembre 2008</w:t>
      </w:r>
    </w:p>
    <w:p>
      <w:r>
        <w:t>IT: TF 6B_935/2008 del 16 dicembre 2008</w:t>
      </w:r>
    </w:p>
    <w:p>
      <w:pPr>
        <w:pStyle w:val="Heading2"/>
      </w:pPr>
      <w:r>
        <w:t>Erwägungen</w:t>
      </w:r>
    </w:p>
    <w:p>
      <w:r>
        <w:rPr>
          <w:b/>
        </w:rPr>
        <w:t>E. 1</w:t>
      </w:r>
    </w:p>
    <w:p>
      <w:r>
        <w:t>En vertu de l' art. 42 al. 1 et 2 LTF , le recourant doit, à peine d'irrecevabilité ( art. 108 al. 1 let. b et 117 LTF ), motiver son recours en exposant succinctement en quoi la décision attaquée viole le droit. Pour ce faire, il doit en principe se fonder sur les faits retenus par le juge précédent (cf. art. 97 LTF ). Il ne peut s'en écarter que s'il explique de manière circonstanciée en quoi ceux-ci ont été établis en violation du droit, au sens des art. 95 et 96 LTF , ou de façon manifestement inexacte, c'est-à-dire arbitraire (cf. arrêt 6B_178/2007 du 23 juillet 2007 consid. 1.2, non publié in ATF 133 IV 286 ).</w:t>
      </w:r>
    </w:p>
    <w:p>
      <w:r>
        <w:t>Lorsque la décision attaquée comporte plusieurs motivations indépendantes et suffisantes à sceller le sort du grief, il incombe au recourant, sous peine d'irrecevabilité, de démontrer que chacune d'elles est contraire au droit ( ATF 133 IV 119 consid. 6.3 p. 120 s.). Si le juge du fait a motivé son appréciation des preuves par deux raisonnements indépendants, le recourant doit, pareillement, exposer en quoi chacun d'eux est arbitraire. À ce défaut, son grief est irrecevable.</w:t>
      </w:r>
    </w:p>
    <w:p>
      <w:r>
        <w:t>En l'espèce, la cour cantonale a rejeté le grief d'arbitraire qui lui était soumis pour plusieurs motifs, distincts et indépendants. D'une part, en effet, elle a considéré qu'il n'y avait rien d'arbitraire à ajouter foi aux déclarations de gardes-frontière assermentés, malgré la déposition contraire d'un témoin employé par le recourant, et que les accusations de ressentiment antipolonais formulées par le recourant contre l'un de ces gardes-frontière étaient sans le moindre fondement. D'autre part, elle a rappelé que le recourant avait admis être le conducteur dans ses premières déclarations et qu'en présence de deux versions des faits contradictoires du prévenu, il fallait en principe accorder la préférence à la première, généralement donnée avant que l'intéressé n'en connaisse les conséquences juridiques. Le recourant ne formule aucun grief contre ce dernier motif, que la cour cantonale a manifestement tenu pour décisif à lui seul (vu l'emploi des termes "au surplus"). Le recours, insuffisamment motivé, doit dès lors être écarté en application de l' art. 108 al. 1 let. b LTF .</w:t>
      </w:r>
    </w:p>
    <w:p>
      <w:r>
        <w:rPr>
          <w:b/>
        </w:rPr>
        <w:t>E. 2</w:t>
      </w:r>
    </w:p>
    <w:p>
      <w:r>
        <w:t>Le recourant qui succombe, doit supporter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