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6B_934/2018 vom 9. November 2018</w:t>
      </w:r>
    </w:p>
    <w:p>
      <w:r>
        <w:t>Bundesgericht, 2018-11-09, FR</w:t>
      </w:r>
    </w:p>
    <w:p>
      <w:r>
        <w:rPr>
          <w:b/>
        </w:rPr>
        <w:t xml:space="preserve">Quelle: </w:t>
      </w:r>
      <w:r>
        <w:t>https://mcp.opencaselaw.ch/entscheid/bger_6B_934_2018</w:t>
      </w:r>
    </w:p>
    <w:p>
      <w:r>
        <w:t>FR: TF 6B_934/2018 du 9 novembre 2018</w:t>
      </w:r>
    </w:p>
    <w:p>
      <w:r>
        <w:t>IT: TF 6B_934/2018 del 9 novembre 2018</w:t>
      </w:r>
    </w:p>
    <w:p>
      <w:pPr>
        <w:pStyle w:val="Heading2"/>
      </w:pPr>
      <w:r>
        <w:t>Erwägungen</w:t>
      </w:r>
    </w:p>
    <w:p>
      <w:r>
        <w:rPr>
          <w:b/>
        </w:rPr>
        <w:t>E. 1</w:t>
      </w:r>
    </w:p>
    <w:p>
      <w:r>
        <w:t>Dans une section de son mémoire de recours intitulée "en fait", le recourant indique que, durant son voyage en Belgique du 2 au 22 février 2015, il aurait demandé à un tiers de relever son courrier tous les deux jours, mais que celui-ci n'aurait pas trouvé d'avis de retrait d'un pli recommandé durant la période en question.</w:t>
      </w:r>
    </w:p>
    <w:p>
      <w:r>
        <w:t>Cette argumentation est irrecevable dès lors qu'elle s'écarte de l'état de fait de la cour cantonale (cf. art. 105 al. 1 LTF ), dont le recourant ne prétend ni ne démontre qu'il aurait été établi de manière arbitraire (cf. art. 97 al. 1 LTF ). Par ailleurs, l'intéressé étaye son argumentation au moyen d'une attestation, laquelle est toutefois irrecevable (cf. art. 99 al. 1 LTF ).</w:t>
      </w:r>
    </w:p>
    <w:p>
      <w:r>
        <w:rPr>
          <w:b/>
        </w:rPr>
        <w:t>E. 2</w:t>
      </w:r>
    </w:p>
    <w:p>
      <w:r>
        <w:t>Le recourant reproche à la cour cantonale d'avoir violé l' art. 85 al. 4 CPP .</w:t>
      </w:r>
    </w:p>
    <w:p>
      <w:r>
        <w:rPr>
          <w:b/>
        </w:rPr>
        <w:t>E. 2.1</w:t>
      </w:r>
    </w:p>
    <w:p>
      <w:r>
        <w:t>Les autorités pénales notifient leurs prononcés par lettre signature ou par tout autre mode de communication impliquant un accusé de réception, notamment par l'entremise de la police ( art. 85 al. 2 CPP ).</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Il est admis que la personne concernée doit s'attendre à la remise d'un prononcé lorsqu'elle est au courant qu'elle fait l'objet d'une instruction pénale au sens de l' art. 309 CPP (arrêts 6B_233/2017 du 12 décembre 2017 consid. 2.1; 6B_1032/2015 du 25 mai 2016 consid. 1.1 et les références citées).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6B_233/2017 précité consid. 2.1; 6B_1032/2015 précité consid. 1.1; 6B_281/2012 du 9 octobre 2012 consid. 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141 II 429 consid. 3.1 p. 431; 139 IV 228 consid. 1.1 p. 230 et les références citées).</w:t>
      </w:r>
    </w:p>
    <w:p>
      <w:r>
        <w:rPr>
          <w:b/>
        </w:rPr>
        <w:t>E. 2.2</w:t>
      </w:r>
    </w:p>
    <w:p>
      <w:r>
        <w:t>La cour cantonale a exposé que le recourant avait été entendu par la police le 28 janvier 2015, en qualité de prévenu, à la suite de la plainte pénale déposée par A.________, ce qui lui avait été précisé comme le mentionnait le procès-verbal. L'intéressé avait par ailleurs, dans les locaux de la police, signé le formulaire de "droits et obligations du prévenu", dans lequel il était, d'une part, précisé que celui-ci revêtait la qualité de prévenu et, d'autre part, fait référence à la notification possible d'une ordonnance pénale. Le recourant avait donc été informé de ce qu'une procédure pénale avait été ouverte contre lui et devait s'attendre à recevoir des actes ou correspondances en lien avec ladite procédure, même en l'absence d'ouverture préalable d'une instruction pénale par le ministère public. Il incombait ainsi à l'intéressé de prendre les mesures nécessaires afin d'être atteint par une notification éventuelle. Dès lors, peu importait qu'il se fût trouvé à l'étranger à l'époque où le ministère public lui avait adressé l'ordonnance pénale du 3 février 2015. Cette ordonnance était réputée lui avoir été notifiée à l'échéance du délai de garde, soit le 16 février 2015, de sorte que l'opposition avait été formée tardivement à son encontre.</w:t>
      </w:r>
    </w:p>
    <w:p>
      <w:r>
        <w:rPr>
          <w:b/>
        </w:rPr>
        <w:t>E. 2.3</w:t>
      </w:r>
    </w:p>
    <w:p>
      <w:r>
        <w:t>Le recourant soutient en vain qu'il ne pouvait de bonne foi s'attendre à la notification d'une ordonnance pénale. Celui-ci n'a pas été simplement interrogé par la police, mais auditionné en qualité de prévenu, ce qui lui a été rappelé durant les auditions des 4 juillet 2014 et 28 janvier 2015 ainsi qu'à l'occasion de la signature du formulaire intitulé "droits et obligations du prévenu". Le recourant devait donc se rendre compte qu'il était partie à une procédure pénale ainsi que s'attendre, en conséquence, à recevoir dans ce cadre des communications de la part des autorités, y compris une ordonnance pénale. A cet égard, le fait que le recourant eût signalé à la police l'existence d'un éventuel témoin ne lui permettait en aucune manière d'exclure, dans les jours et semaines suivants, qu'une communication de l'autorité pénale lui parviendrait.</w:t>
      </w:r>
    </w:p>
    <w:p>
      <w:r>
        <w:t>Partant, l'autorité précédente pouvait, sans violer le droit fédéral, considérer que l'ordonnance pénale du 3 février 2015 avait été notifiée au recourant le 16 février 2015 et que l'opposition formée le 17 janvier 2018 était tardive (cf. art. 354 al. 1 CPP ). Le grief doit être rejeté.</w:t>
      </w:r>
    </w:p>
    <w:p>
      <w:r>
        <w:rPr>
          <w:b/>
        </w:rPr>
        <w:t>E. 3</w:t>
      </w:r>
    </w:p>
    <w:p>
      <w:r>
        <w:t>Le recours doit être rejeté dans la mesure où il est recevable. Comme ses conclusions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