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933/2021 vom 21. Februar 2022</w:t>
      </w:r>
    </w:p>
    <w:p>
      <w:r>
        <w:t>Bundesgericht, 2022-02-21, FR</w:t>
      </w:r>
    </w:p>
    <w:p>
      <w:r>
        <w:rPr>
          <w:b/>
        </w:rPr>
        <w:t xml:space="preserve">Quelle: </w:t>
      </w:r>
      <w:r>
        <w:t>https://mcp.opencaselaw.ch/entscheid/bger_6B_933_2021</w:t>
      </w:r>
    </w:p>
    <w:p>
      <w:r>
        <w:t>FR: TF 6B 933/2021 du 21 février 2022</w:t>
      </w:r>
    </w:p>
    <w:p>
      <w:r>
        <w:t>IT: TF 6B 933/2021 del 21 febbraio 2022</w:t>
      </w:r>
    </w:p>
    <w:p>
      <w:pPr>
        <w:pStyle w:val="Heading2"/>
      </w:pPr>
      <w:r>
        <w:t>Regeste</w:t>
      </w:r>
    </w:p>
    <w:p>
      <w:r>
        <w:t>Ordonnance de non-entrée en matière | Procédure pénale</w:t>
      </w:r>
    </w:p>
    <w:p>
      <w:pPr>
        <w:pStyle w:val="Heading2"/>
      </w:pPr>
      <w:r>
        <w:t>Erwägungen</w:t>
      </w:r>
    </w:p>
    <w:p>
      <w:r>
        <w:rPr>
          <w:b/>
        </w:rPr>
        <w:t>E. 1</w:t>
      </w:r>
    </w:p>
    <w:p>
      <w:r>
        <w:t>Le Tribunal fédéral examine d'office et librement la recevabilité des recours qui lui sont soumis ( ATF 146 IV 185 consid. 2; 142 IV 196 consid. 1).</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fait valoir des conclusions civiles chiffrées et étayées correspondant à des frais médicaux non remboursés (consultations ambulatoires, séances de physiothérapie et traitements) et à un tort moral résultant du comportement qu'il impute à l'intimé. Contrairement à ce que prétend l'intimé dans ses déterminations, les frais médicaux ne doivent pas nécessairement résulter d'une opération. Les éléments apportés par le recourant permettent de lui reconnaître, au stade de l'examen de la recevabilité du recours en matière pénale, la qualité pour recourir au sens de l'art. 81 al. 1 let. b ch. 5 LTF. Il y a donc lieu d'entrer en matière sur ce point.</w:t>
      </w:r>
    </w:p>
    <w:p>
      <w:r>
        <w:rPr>
          <w:b/>
        </w:rPr>
        <w:t>E. 1.3</w:t>
      </w:r>
    </w:p>
    <w:p>
      <w:r>
        <w:t>Le recourant reproche en outre à la cour cantonale de lui avoir nié son droit de porter plainte s'agissant du comportement de son voisin le 22 avril 2020, relevant, selon lui, de l'infraction de voies de fait. En tant qu'il fait valoir une violation de son droit de porter plainte, il dispose également de la qualité pour recourir sur ce point, au sens de l'art. 81 al. 1 let. a et b ch. 6 LTF.</w:t>
      </w:r>
    </w:p>
    <w:p>
      <w:r>
        <w:rPr>
          <w:b/>
        </w:rPr>
        <w:t>E. 2</w:t>
      </w:r>
    </w:p>
    <w:p>
      <w:r>
        <w:t>Le recourant reproche à la cour cantonale d'avoir violé le principe in dubio pro duriore et l' art. 310 al. 1 CPP en confirmant le refus d'entrer en matière sur sa plainte.</w:t>
      </w:r>
    </w:p>
    <w:p>
      <w:r>
        <w:rPr>
          <w:b/>
        </w:rPr>
        <w:t>E. 2.1</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à l'adage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 ATF 143 IV 241 consid. 2.2.2 et les arrêts cités; arrêts 6B_258/2021 du 12 juillet 2021 consid. 2.2; 6B_1164/2020 du 10 juin 2021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arrêts 6B_488/2021 du 22 décembre 2021 consid. 5.3; 6B_766/2018 du 28 septembre 2018 consid. 3.1). Suivant les circonstances, les mêmes motifs peuvent aussi permettre, en particulier si la crédibilité de la partie plaignante est d'emblée remise en question par des éléments manifestement probants, de rendre une décision de non-entrée en matière (arrêts 6B_766/2018 précité consid. 3.1; 6B_179/2018 du 27 juillet 2018 consid. 3.1).</w:t>
      </w:r>
    </w:p>
    <w:p>
      <w:r>
        <w:rPr>
          <w:b/>
        </w:rPr>
        <w:t>E. 2.2</w:t>
      </w:r>
    </w:p>
    <w:p>
      <w:r>
        <w:t>Le 16 septembre 2020, l'épouse de B.________ a été entendue comme personne appelée à donner des renseignements concernant les faits du 23 avril 2020, lors desquels elle était présente. Par courrier du 18 septembre 2020 adressé au ministère public, B.________ a admis avoir, le 22 avril 2020 "douché" le recourant avec le tuyau du jardin et a indiqué qu'à son arrivée le 23 avril 2020 devant chez lui, le recourant, qui obstruait le passage, ne s'était pas déplacé malgré l'avertisseur sonore. Il avait alors dû freiner d'urgence pour ne pas le renverser, il était ensuite sorti du véhicule et une discussion s'en était suivie au cours de laquelle il avait saisi et jeté la casquette de son voisin dans le jardin. Il a contesté tout " acte de violence ". Lors de son audition du 28 septembre 2020, B.________ a expliqué qu'après être descendu du véhicule, les intéressés avaient eu une " conversation animée en respectant la distance sanitaire imposée " mais qu'à aucun moment il n'y avait eu de contact physique entre eux. A ce propos, il a précisé, s'agissant de son épouse, " Je sais qu'elle vous a parlé de bagarre, mais il ne s'agissait pas de cela. C'était juste des échanges verbaux ". Il a encore déclaré qu'au terme de leur discussion, son voisin était parti sans évoquer ni manifester une quelconque douleur et avait continué à désherber son terrain.</w:t>
      </w:r>
    </w:p>
    <w:p>
      <w:r>
        <w:rPr>
          <w:b/>
        </w:rPr>
        <w:t>E. 2.3</w:t>
      </w:r>
    </w:p>
    <w:p>
      <w:r>
        <w:t>S'agissant de l'épisode de la " douche au tuyau d'arrosage ", la cour cantonale a considéré qu'il ne faisait pas l'objet de la plainte proprement dite, puisque le recourant se limitait à évoquer, sans plus amples explications, qu'il a été " chassé de sa parcelle à coups de jets d'eau ", en référence au contexte entourant les faits du 23 avril 2020. Elle a jugé qu'il n'était pas nécessaire d'examiner si ces " jets d'eau " - dont elle ignorait s'ils avaient véritablement atteint le plaignant - pouvaient constituer des voies de fait. Quant à la querelle du 23 avril 2020, elle a considéré que les déclarations de B.________ ainsi que celles de son épouse ne permettaient pas de retenir qu'il y avait eu une atteinte physique. En outre, la cour cantonale a estimé que le certificat médical annexé à la plainte n'était, " à lui seul ", pas pertinent car la consultation avait eu lieu plus d'une semaine après les faits dénoncés. Elle a en définitive retenu que les conditions d'une non-entrée en matière au sens de l' art. 310 al. 1 let. a CPP étaient réunies.</w:t>
      </w:r>
    </w:p>
    <w:p>
      <w:r>
        <w:rPr>
          <w:b/>
        </w:rPr>
        <w:t>E. 2.4</w:t>
      </w:r>
    </w:p>
    <w:p>
      <w:r>
        <w:t>Le raisonnement de la cour cantonale ne saurait être suivi. Elle n'a relevé aucune contradiction dans les déclarations du recourant qui le rendrait moins crédible que l'intimé. Les versions des intéressés sont concordantes tant quant à l'épisode de la " douche au tuyau d'arrosage " le 22 avril 2020, que s'agissant du freinage d'urgence de l'intimé à proximité du recourant et de certains échanges, le lendemain. Les parties, ainsi que l'épouse de l'intimé, ont tous les trois indiqué qu'à cette occasion, cette dernière avait demandé à l'intimé d'arrêter, celle-ci ayant ajouté qu'elle avait préféré ne pas voir ce qui allait se passer. En revanche, les déclarations orales de l'intimé, selon lesquelles il avait respecté la distance sanitaire et n'avait eu aucun contact physique avec le recourant s'écartent singulièrement de son récit écrit, dans lequel il concédait avoir saisi et jeté la casquette de son voisin. Cela étant, la cour cantonale ne pouvait d'entrée de cause écarter les accusations portées par le recourant au profit de la version de l'intimé. Le certificat médical attestant d'une impotence et d'une douleur de l'épaule droite, qui seraient dues à une déchirure du tendon supra-épineux à la suite de l'altercation du 23 avril 2020, ne pouvait davantage être écarté à ce stade de la procédure, au seul motif que la consultation avait eu lieu une semaine après les faits. Au contraire, le constat, confirmé par IRM, d'une lésion correspondant aux conséquences du comportement reproché à l'intimé suscite un doute quant à la situation factuelle et constitue un élément objectif qui, ajouté aux déclarations des parties, justifie l'ouverture d'une instruction. En tant que l'intimé prétend qu'il n'y a aucun témoin de la scène et qu'il ne serait pas possible de retenir avec certitude que les constatations contenues dans le certificat médical seraient les conséquences des événements du 23 avril 2020, il ne fait que souligner le caractère incertain des faits à ce stade. Quant à l'épisode du jet au tuyau d'arrosage, la cour cantonale ne saurait se contenter d'indiquer qu'il ne fait pas l'objet de la plainte pénale alors que ce comportement y est expressément mentionné et que l'intimé en fait également état dans son courrier du 18 septembre 2020. En relevant qu'elle ignore si le jet a atteint le recourant, la cour cantonale reconnaît qu'il demeure un doute sur la situation factuelle à cet égard également. Les circonstances du cas d'espèce justifiaient d'instruire la situation de fait et, dans ce cadre, d'examiner la crédibilité des déclarations des intéressés s'agissant des événements des 22 et 23 avril 2020. Au regard de la jurisprudence précitée, les conditions d'une non-entrée en matière n'étaient pas réunies, de sorte que la cour cantonale a violé le principe in dubio pro duriore en confirmant le refus d'entrer en matière sur les faits dénoncés. Le recours doit être admis et la cause renvoyée à l'autorité précédente afin qu'elle ordonne l'ouverture d'une instruction sur les faits dénoncés par le recourant.</w:t>
      </w:r>
    </w:p>
    <w:p>
      <w:r>
        <w:rPr>
          <w:b/>
        </w:rPr>
        <w:t>E. 3</w:t>
      </w:r>
    </w:p>
    <w:p>
      <w:r>
        <w:t>Le recours doit être admis, l'arrêt attaqué annulé et la cause renvoyée à la cour cantonale pour nouvelle décision. Le recourant, qui obtient gain de cause, ne supportera pas de frais et peut prétendre à des dépens, à la charge pour moitié chacun, d'une part, du canton de Vaud et, d'autre part, de l'intimé ( art. 68 al. 1 et 2 LTF ). Dans les circonstances d'espèce, il peut être renoncé à mettre des frais à la charge de l'intimé, le canton n'ayant quant à lui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