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932/2020 vom 2. Oktober 2020</w:t>
      </w:r>
    </w:p>
    <w:p>
      <w:r>
        <w:t>Bundesgericht, 2020-10-02, DE</w:t>
      </w:r>
    </w:p>
    <w:p>
      <w:r>
        <w:rPr>
          <w:b/>
        </w:rPr>
        <w:t xml:space="preserve">Quelle: </w:t>
      </w:r>
      <w:r>
        <w:t>https://mcp.opencaselaw.ch/entscheid/bger_6B_932_2020</w:t>
      </w:r>
    </w:p>
    <w:p>
      <w:r>
        <w:t>FR: TF 6B 932/2020 du 2 octobre 2020</w:t>
      </w:r>
    </w:p>
    <w:p>
      <w:r>
        <w:t>IT: TF 6B 932/2020 del 2 ottobre 2020</w:t>
      </w:r>
    </w:p>
    <w:p>
      <w:pPr>
        <w:pStyle w:val="Heading2"/>
      </w:pPr>
      <w:r>
        <w:t>Regeste</w:t>
      </w:r>
    </w:p>
    <w:p>
      <w:r>
        <w:t>Rechtzeitigkeit der Einsprache;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Innerschwyz erliess am 30. Juli 2019 einen Strafbefehl, mit welchem sie A.________ als Halter des Fahrzeugs mit dem Kennzeichen xxx der Überschreitung der signalisierten Höchstgeschwindigkeit auf Autobahnen im Umfang von 10 km/h schuldig erklärte und mit einer Busse von Fr. 60.-- bestrafte. Dagegen erhob A.________ am 16. September 2019 Einsprache. Am 5. Mai 2020 stellte das Bezirksgericht Schwyz fest, dass die Einsprache verspätet und der Strafbefehl in Rechtskraft erwachsen war.</w:t>
      </w:r>
    </w:p>
    <w:p>
      <w:r>
        <w:rPr>
          <w:b/>
        </w:rPr>
        <w:t>E. 2</w:t>
      </w:r>
    </w:p>
    <w:p>
      <w:r>
        <w:t>Am 26. Mai 2020 erhob A.________ Beschwerde gegen die Verfügung des Bezirksgerichts. Das Kantonsgericht Schwyz trat darauf am 9. Juli 2020 infolge Verspätung nicht ein.</w:t>
      </w:r>
    </w:p>
    <w:p>
      <w:r>
        <w:rPr>
          <w:b/>
        </w:rPr>
        <w:t>E. 3</w:t>
      </w:r>
    </w:p>
    <w:p>
      <w:r>
        <w:t>A.________ führt Beschwerde in Strafsachen. Er beantragt im Wesentlichen, die Verfügung des Kantonsgerichts sei aufzuheben und die Sache sei zu neuer Beurteilung an die Vorinstanz zurückzuweisen.</w:t>
      </w:r>
    </w:p>
    <w:p>
      <w:r>
        <w:rPr>
          <w:b/>
        </w:rPr>
        <w:t>E. 4</w:t>
      </w:r>
    </w:p>
    <w:p>
      <w:r>
        <w:t>Rechtsschriften haben die Begehren sowie deren Begründung mit Angabe der Beweismittel zu enthalten. In der Begründung ist in gedrängter Form darzulegen, inwiefern der angefochtene Akt Recht verletzt ( Art. 42 Abs. 1 und 2 BGG ). Um diesen Erfordernissen zu genügen, muss der Beschwerdeführer sich mit den Erwägungen des angefochtenen Entscheids auseinandersetzen ( BGE 140 III 86 E. 2 mit Hinweisen). Die Vorinstanz erwägt, der Beschwerdeführer habe die zehntägige Frist gemäss Art. 396 Abs. 1 StPO zur Anfechtung der Verfügung des Bezirksgerichts nicht eingehalten. Weshalb dies nicht zutreffen sollte, legt der Beschwerdeführer in seiner Eingabe an das Bundesgericht nicht dar.</w:t>
      </w:r>
    </w:p>
    <w:p>
      <w:r>
        <w:rPr>
          <w:b/>
        </w:rPr>
        <w:t>E. 5</w:t>
      </w:r>
    </w:p>
    <w:p>
      <w:r>
        <w:t>Auf die Beschwerde ist mangels hinreichender Begründung nicht einzutreten ( Art. 108 Abs. 1 lit. b BGG ). Der Beschwerdeführer trägt die Kosten des Verfahrens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