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932/2013 vom 31. März 2014</w:t>
      </w:r>
    </w:p>
    <w:p>
      <w:r>
        <w:t>Bundesgericht, 2014-03-31, DE</w:t>
      </w:r>
    </w:p>
    <w:p>
      <w:r>
        <w:rPr>
          <w:b/>
        </w:rPr>
        <w:t xml:space="preserve">Quelle: </w:t>
      </w:r>
      <w:r>
        <w:t>https://mcp.opencaselaw.ch/entscheid/bger_6B_932_2013</w:t>
      </w:r>
    </w:p>
    <w:p>
      <w:r>
        <w:t>FR: TF 6B 932/2013 du 31 mars 2014</w:t>
      </w:r>
    </w:p>
    <w:p>
      <w:r>
        <w:t>IT: TF 6B 932/2013 del 31 marzo 2014</w:t>
      </w:r>
    </w:p>
    <w:p>
      <w:pPr>
        <w:pStyle w:val="Heading2"/>
      </w:pPr>
      <w:r>
        <w:t>Regeste</w:t>
      </w:r>
    </w:p>
    <w:p>
      <w:r>
        <w:t>Einfache Körperverletzung; rechtliches Gehör | Straftaten</w:t>
      </w:r>
    </w:p>
    <w:p>
      <w:pPr>
        <w:pStyle w:val="Heading2"/>
      </w:pPr>
      <w:r>
        <w:t>Erwägungen</w:t>
      </w:r>
    </w:p>
    <w:p>
      <w:r>
        <w:rPr>
          <w:b/>
        </w:rPr>
        <w:t>E. 1</w:t>
      </w:r>
    </w:p>
    <w:p>
      <w:r>
        <w:t>Der Beschwerdeführer rügt, die Vorinstanz habe den Sachverhalt unrichtig und unvollständig festgestellt sowie sein rechtliches Gehör verletzt ( Art. 9 und 29 Abs. 2 BV ). Sie sei auf seine Angabe nicht eingegangen, wonach der Beschwerdegegner in die "Boxerstellung" gegangen sei und mit der rechten Hand am linken Ohr des Beschwerdeführers vorbeigeschlagen habe. Erst anschliessend habe er ihn gepackt und in den "Schwitzkasten" genommen. Ferner habe sie seine Aussagen und jene des Beschwerdegegners sowie der Auskunftspersonen nicht auf ihre Glaubhaftigkeit überprüft. Bei der Schilderung des Schlags des Beschwerdegegners handle es sich nicht um einen Parteistandpunkt, der vernachlässigt werden könne. Der Beschwerdeführer habe in Notwehr gehandelt. Die Vorinstanz hätte sich in der Urteilsbegründung mit seinen Aussagen auseinandersetzen müssen.</w:t>
      </w:r>
    </w:p>
    <w:p>
      <w:r>
        <w:rPr>
          <w:b/>
        </w:rPr>
        <w:t>E. 1.1</w:t>
      </w:r>
    </w:p>
    <w:p>
      <w:r>
        <w:t>Das rechtliche Gehör nach Art. 29 Abs. 2 BV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139 IV 179 E. 2.2; 138 IV 81 E. 2.2 ; 134 I 83 E. 4.1 S. 88 mit Hinweisen).</w:t>
      </w:r>
    </w:p>
    <w:p>
      <w:r>
        <w:rPr>
          <w:b/>
        </w:rPr>
        <w:t>E. 1.2</w:t>
      </w:r>
    </w:p>
    <w:p>
      <w:r>
        <w:t>Die Vorinstanz weist einleitend auf den unbestrittenen Sachverhalt hin, wonach es zwischen dem Beschwerdeführer und dem Beschwerdegegner zunächst zu einer verbalen Konfrontation gekommen sei. In deren Verlauf habe der Beschwerdeführer das Grundstück des Beschwerdegegners betreten, worauf dieser ihn weggeschubst habe. Der Beschwerdeführer habe den Beschwerdegegner zu Boden gedrückt, ihn in den "Schwitzkasten" genommen und ihn gewürgt (Urteil S. 15 E. 2.2.3.1; erstinstanzliches Urteil S. 14 f. E. 6.1). Sie beschäftigt sich in der Folge mit dem Vorbringen des Beschwerdeführers, die Rippenfraktur des Beschwerdegegners könne nicht von dem Vorfall stammen, und kommt zum gegenteiligen Schluss. Schliesslich stellt sie fest, der angeklagte Sachverhalt sei vollumfänglich erwiesen (Urteil S. 16 f. E. 2.2.3.2). Die Aussage des Beschwerdeführers, er habe nur abgewehrt, nachdem der Beschwerdegegner in die "Boxerstellung" gegangen sei und einen Schlag gegen ihn ausgeführt habe, erwähnt sie im Rahmen der rechtlichen Würdigung. Sie geht bei der Subsumtion mit keinem Wort darauf ein, sondern führt aus, der Beschwerdeführer habe sich zu Beginn seines tatbestandsmässigen Handelns nicht in einer Notwehrsituation befunden, weshalb keine Notwehr gemäss Art. 15 StGB vorliege (Urteil S. 19 f. E. 2.2.4.3).</w:t>
      </w:r>
    </w:p>
    <w:p>
      <w:r>
        <w:rPr>
          <w:b/>
        </w:rPr>
        <w:t>E. 1.3</w:t>
      </w:r>
    </w:p>
    <w:p>
      <w:r>
        <w:t>Während die erste Instanz sich mit den Vorbringen des Beschwerdeführers auseinandersetzte, sämtliche Aussagen eingehend würdigte und schliesslich den angeklagten Sachverhalt als erstellt erachtete (erstinstanzliches Urteil S. 16 f. E. 6.3 f.), geht die Vorinstanz darüber hinweg. Eine eigentliche Beweiswürdigung zum zeitlichen Ablauf der Auseinandersetzung findet nicht statt. Auch verweist sie diesbezüglich nicht auf die erstinstanzlichen Ausführungen ( Art. 82 Abs. 4 StPO ; siehe Urteil S. 15 E. 2.2.3.1, wo nur auf S. 14 f. E. 6.1 des erstinstanzlichen Urteils verwiesen wird). Offen bleiben kann, ob mit einem solchen Verweis vorliegend das rechtliche Gehör des Beschwerdeführers gewahrt wäre. Dieser bringt zu Recht vor, dass seine vom angeklagten Sachverhalt abweichende bzw. diesen ergänzende Schilderung massgebend für die rechtliche Würdigung sein könnte. Das Bundesgericht kann aufgrund der mangelhaften Begründung der vorinstanzlichen Beweiswürdigung nicht prüfen, ob diese willkürlich ist. Daran vermögen auch die Ausführungen der Vorinstanz in ihrer Vernehmlassung nichts zu ändern, wonach keine Auskunftsperson die Version des Beschwerdeführers bestätigt habe. Das vorinstanzliche Urteil ist ungenügend begründet und verletzt das rechtliche Gehör des Beschwerdeführers.</w:t>
      </w:r>
    </w:p>
    <w:p>
      <w:r>
        <w:rPr>
          <w:b/>
        </w:rPr>
        <w:t>E. 1.4</w:t>
      </w:r>
    </w:p>
    <w:p>
      <w:r>
        <w:t>Eine Heilung dieser Verletzung des rechtlichen Gehörs kommt im bundesgerichtlichen Verfahren nicht in Betracht (vgl. zum Ganzen BGE 137 I 195 E. 2.3.2 mit Hinweisen). Dies führt zur Aufhebung des angefochtenen Urteils, ohne dass die weiteren Rügen zu prüfen wären (siehe BGE 137 I 195 E. 2.2 ; 135 I 279 E. 2.6.1).</w:t>
      </w:r>
    </w:p>
    <w:p>
      <w:r>
        <w:rPr>
          <w:b/>
        </w:rPr>
        <w:t>E. 2</w:t>
      </w:r>
    </w:p>
    <w:p>
      <w:r>
        <w:t>Die Beschwerde ist gutzuheissen, das angefochtene Urteil aufzuheben und die Sache zur neuen Entscheidung an die Vorinstanz zurückzuweisen. Bei diesem Ausgang des Verfahrens sind keine Kosten zu erheben und der Beschwerdeführer ist vom Kanton Aargau angemessen zu entschädigen (Art. 66 Abs. 1 und 4 sowie Art. 68 Abs. 2 BGG ). Dem Beschwerdegegner und der Beschwerdegegnerin 3 sind weder Gerichtskosten aufzuerlegen noch haben sie eine Parteientschädigung zu entrichten, da sie sich nicht vernehmen liessen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