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931/2022 vom 23. August 2023</w:t>
      </w:r>
    </w:p>
    <w:p>
      <w:r>
        <w:t>Bundesgericht, 2023-08-23, FR</w:t>
      </w:r>
    </w:p>
    <w:p>
      <w:r>
        <w:rPr>
          <w:b/>
        </w:rPr>
        <w:t xml:space="preserve">Quelle: </w:t>
      </w:r>
      <w:r>
        <w:t>https://mcp.opencaselaw.ch/entscheid/bger_6B_931_2022</w:t>
      </w:r>
    </w:p>
    <w:p>
      <w:r>
        <w:t>FR: TF 6B 931/2022 du 23 août 2023</w:t>
      </w:r>
    </w:p>
    <w:p>
      <w:r>
        <w:t>IT: TF 6B 931/2022 del 23 agosto 2023</w:t>
      </w:r>
    </w:p>
    <w:p>
      <w:pPr>
        <w:pStyle w:val="Heading2"/>
      </w:pPr>
      <w:r>
        <w:t>Regeste</w:t>
      </w:r>
    </w:p>
    <w:p>
      <w:r>
        <w:t>Nullité d'une ordonnance pénale (violation de domicile, etc.) | Procédure pénale</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L'arrêt attaqué ne met pas fin à la procédure (cf. art. 90 LTF ), dès lors que la cause est renvoyée au ministère public pour nouvelle instruction et nouvelle décision. Formellement, il s'agit ainsi d'une décision de renvoi, soit d'une décision incidente qui ne peut faire l'objet d'un recours au Tribunal fédéral qu'aux conditions de l' art. 93 LTF ( ATF 133 V 477 consid. 4.2. et 4.3). Selon la jurisprudence constante, il y a matière à retenir l'existence d'un préjudice irréparable au sens de l' art. 93 al. 1 let. a LTF lorsqu'une autorité cantonale annule une décision du ministère public et lui renvoie la cause pour nouvelle décision, puisque ce dernier se voit contraint de rendre une décision qu'il considère comme contraire au droit sans pouvoir ensuite la remettre en cause devant l'autorité de recours, respectivement devant le Tribunal fédéral ( ATF 144 IV 377 consid. 1; 142 V 26 consid. 1.2; arrêt 6B_1232/2022 du 20 décembre 2022 consid. 2.3 et les arrêts cités). Tel est le cas en l'espèce, dès lors que la cour cantonale a jugé nulle l'ordonnance pénale à la base de la présente procédure et a renvoyé la cause au ministère public, qui n'est cependant plus censé disposer d'aucune latitude de jugement sur cette question précise dans la suite de la procédure. Le recours est ainsi recevable quant à son objet (art. 78, 80 et 93 al. 1 let. a LTF) et le recourant, qui dispose d'un intérêt juridique à faire trancher la question litigieuse discutée ci-après, a qualité pour recourir (cf. art. 81 al. 1 let. b ch. 3 LTF; cf. aussi art. 27 al. 2 de la loi vaudoise du 19 mai 2009 sur le ministère public [LMPu/VD; BLV 173.21]). Il convient donc d'entrer en matière.</w:t>
      </w:r>
    </w:p>
    <w:p>
      <w:r>
        <w:rPr>
          <w:b/>
        </w:rPr>
        <w:t>E. 2</w:t>
      </w:r>
    </w:p>
    <w:p>
      <w:r>
        <w:t>Le recourant conteste que l'ordonnance pénale du 31 mars 2021 rendue à l'encontre de l'intimée puisse être qualifiée de nulle. La problématique en question a été traitée par la cour de céans dans son arrêt du 27 septembre 2022 (6B_1325/2021 et 6B_1348/2021, ATF 149 IV 9 ), qui concerne le même contexte général que la présente cause. Dans cet arrêt,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 ibid. ). Sur la base des considérants qui précèdent, la cour de céans a retenu qu'une ordonnance pénale comportant une désignation générique analogue à celle retenue en l'espèce (cf. supra A.a) ne pouvait pas être qualifiée de nulle. Par identité de motifs, les griefs soulevés par le ministère public à l'encontre de l'arrêt attaqué, qui retient une solution opposée à celle de la cour de céans dans l'arrêt précité, s'avèrent fondés.</w:t>
      </w:r>
    </w:p>
    <w:p>
      <w:r>
        <w:rPr>
          <w:b/>
        </w:rPr>
        <w:t>E. 3</w:t>
      </w:r>
    </w:p>
    <w:p>
      <w:r>
        <w:t>Le recours doit en conséquence être admis, l'arrêt attaqué annulé et la cause doit être renvoyée à la cour cantonale pour nouvelle décision.</w:t>
      </w:r>
    </w:p>
    <w:p>
      <w:r>
        <w:rPr>
          <w:b/>
        </w:rPr>
        <w:t>E. 4</w:t>
      </w:r>
    </w:p>
    <w:p>
      <w:r>
        <w:t>Il n'y a pas lieu d'allouer une indemnité à l'accusateur public qui obtient gain de cause (cf. art. 68 al. 3 LTF ). Vu les déterminations de l'intimée et le sort de la cause, il est statué sans frais judiciaires (art. 66 al. 1, 2e phrase, LTF), et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