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6B_931/2020 vom 22. März 2021</w:t>
      </w:r>
    </w:p>
    <w:p>
      <w:r>
        <w:t>Bundesgericht, 2021-03-22, FR</w:t>
      </w:r>
    </w:p>
    <w:p>
      <w:r>
        <w:rPr>
          <w:b/>
        </w:rPr>
        <w:t xml:space="preserve">Quelle: </w:t>
      </w:r>
      <w:r>
        <w:t>https://mcp.opencaselaw.ch/entscheid/bger_6B_931_2020</w:t>
      </w:r>
    </w:p>
    <w:p>
      <w:r>
        <w:t>FR: TF 6B_931/2020 du 22 mars 2021</w:t>
      </w:r>
    </w:p>
    <w:p>
      <w:r>
        <w:t>IT: TF 6B_931/2020 del 22 marzo 2021</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141 IV 1 consid. 1.1. p. 5; 138 IV 78 p. 79). Il peut notamment recourir contre la décision qui, comme en l'espèce, déclare irrecevable un recours cantonal pour défaut de qualité pour recourir. Le présent recours est dès lors recevable.</w:t>
      </w:r>
    </w:p>
    <w:p>
      <w:r>
        <w:rPr>
          <w:b/>
        </w:rPr>
        <w:t>E. 3</w:t>
      </w:r>
    </w:p>
    <w:p>
      <w:r>
        <w:t>Dénonçant une violation de l' art. 382 al. 1 CPP , le recourant prétend que c'est à tort que la cour cantonale lui a dénié la qualité pour recourir.</w:t>
      </w:r>
    </w:p>
    <w:p>
      <w:r>
        <w:rPr>
          <w:b/>
        </w:rPr>
        <w:t>E. 3.1</w:t>
      </w:r>
    </w:p>
    <w:p>
      <w:r>
        <w:t>Selon l' art. 382 al. 1 CPP , toute partie qui a un intérêt juridiquement protégé à l'annulation ou à la modification d'une décision a qualité pour recourir contre celle-ci. L' art. 104 al. 1 let. b CPP précise que la qualité de partie est reconnue à la partie plaignante.</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Lorsque la norme protège un bien juridique individuel, la qualité de lésé appartient au titulaire de ce bien ( ATF 138 IV 258 consid. 2.3 p. 263; 129 IV 95 consid. 3.1 p. 98 s.; 126 IV 42 consid. 2A p. 43-44; 117 Ia 135 consid. 2a p. 137).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141 IV 454 consid. 2.3.1 p. 457; 138 IV 258 consid. 2.3 p. 263; 129 IV 95 consid. 3.1 p. 99 et les références citées).</w:t>
      </w:r>
    </w:p>
    <w:p>
      <w:r>
        <w:t>Pour être directement touché, le lésé doit subir une atteinte en rapport de causalité directe avec l'infraction poursuivie, ce qui exclut les dommages par ricochet (arrêts 6B_1014/2020 du 10 février 2021 consid. 3.2; 6B_608/2020 du 4 décembre 2020 consid. 3.1; 6B_1239/2020 et 6B_1240/2020 du 2 décembre 2020 consid. 5.1).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 ATF 141 IV 380 consid. 2.3.3 p. 386; 140 IV 155 consid. 3.3.1 p. 158).</w:t>
      </w:r>
    </w:p>
    <w:p>
      <w:r>
        <w:rPr>
          <w:b/>
        </w:rPr>
        <w:t>E. 3.2</w:t>
      </w:r>
    </w:p>
    <w:p>
      <w:r>
        <w:t>Selon l' art. 305bis CP , se rend coupable de blanchiment d'argent celui qui aura commis un acte propre à entraver l'identification de l'origine, la découverte ou la confiscation de valeurs patrimoniales, dont il savait ou devait présumer qu'elles provenaient d'un crime ou d'un délit fiscal qualifié. Le comportement punissable consiste à mettre en sécurité des valeurs patrimoniales acquises illicitement par le crime préalable.</w:t>
      </w:r>
    </w:p>
    <w:p>
      <w:r>
        <w:t>Le bien juridique protégé est en première ligne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 ATF 146 IV 211 consid. 4.2.1 p. 216; 145 IV 335 consid. 3.1 p. 341; 129 IV 322 consid. 2.2.4 p. 325 ss).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 in fine CP) ou de l'allocation à celui-ci du produit de la confiscation ( art. 73 al. 1 let. b CP ). Dès lors, le lésé de l'infraction préalable peut réclamer des dommages et intérêts au blanchisseur pour acte illicite en vertu de l' art. 41 CO (CASSANI, in Commentaire romand, Code pénal II, 2017, n° 11 ad art. 305bis CP ).</w:t>
      </w:r>
    </w:p>
    <w:p>
      <w:r>
        <w:rPr>
          <w:b/>
        </w:rPr>
        <w:t>E. 3.3</w:t>
      </w:r>
    </w:p>
    <w:p>
      <w:r>
        <w:t>La cour cantonale a considéré que le recourant n'était pas touché directement par l'infraction de blanchiment et qu'il ne revêtait en conséquence pas la qualité de lésé au sens de l' art. 115 CPP . En effet, les détournements dénoncés avaient été commis au détriment de la tante du recourant dans le cadre d'une opération immobilière en Espagne, laquelle lui avait cédé ultérieurement ses prétentions civiles à l'encontre des auteurs des détournements. Le recourant qui n'était pas titulaire du patrimoine lésé à l'époque des faits n'avait pas été touché directement dans ses droits par les infractions dénoncées et ne pouvait en conséquence pas être considéré comme lésé au regard de l'art. 305</w:t>
      </w:r>
    </w:p>
    <w:p>
      <w:r>
        <w:t>bis CP, même si des actes de blanchiment étaient encore intervenus postérieurement à la cession de créance du 29 décembre 2011 (arrêt attaqué p. 4, consid. 2.4).</w:t>
      </w:r>
    </w:p>
    <w:p>
      <w:r>
        <w:t>Le recourant soutient que la qualité de lésé au sens de l' art. 115 al. 1 CPP doit être reconnue à la personne lésée par le crime préalable, mais également à son successeur à la suite d'une cession volontaire. Il explique que les actes de blanchiment empêcheront également ce dernier d'accéder aux valeurs patrimoniales. Selon le recourant, on devrait reconnaître la qualité de lésé à celui qui subit un désavantage directement de par un délit contre l'administration de la justice comme le blanchiment.</w:t>
      </w:r>
    </w:p>
    <w:p>
      <w:r>
        <w:rPr>
          <w:b/>
        </w:rPr>
        <w:t>E. 3.4.1</w:t>
      </w:r>
    </w:p>
    <w:p>
      <w:r>
        <w:t>Une cession de la créance fondée sur le dommage causé par une infraction ne confère pas au tiers cessionnaire la qualité de lésé. Celui-ci ne peut en effet pas se prévaloir de l' art. 121 CPP , dans la mesure où il n'est ni proche du lésé ni tiers subrogé ( ATF 146 IV 76 consid. 2.2.1 p. 80; 140 IV 162 consid. 4 p. 164 ss; arrêt 6B_549/2013 du 24 février 2014 consid. 3.2.2). Ainsi, en tant que simple cessionnaire "des prétentions en dommages-intérêts en lien avec les détournements commis en Espagne", le recourant n'est pas touché directement par les actes de détournements et n'a donc pas la qualité de lésé en relation avec ces infractions.</w:t>
      </w:r>
    </w:p>
    <w:p>
      <w:r>
        <w:rPr>
          <w:b/>
        </w:rPr>
        <w:t>E. 3.4.2</w:t>
      </w:r>
    </w:p>
    <w:p>
      <w:r>
        <w:t>Le recourant allègue toutefois que C.________ a commis des actes de blanchiment (notamment en transférant des valeurs détournées à l'étranger) postérieurement à la cession de créance. Si le cessionnaire de la créance fondée sur l'infraction préalable n'est pas directement lésé par cette dernière infraction, il sera en revanche directement touché par les actes de blanchiment commis postérieurement à la cession. En effet, ces actes de blanchiment pourront avoir pour effet de mettre en danger les intérêts du cessionnaire, dans la mesure où ils l'entraveront dans l'obtention du paiement de la créance cédée, notamment par le biais de l' art. 73 CP . Si les allégations du recourant devaient être suivies, le recourant est bien directement touché dans ses droits par l'infraction de blanchiment dénoncée, de sorte que c'est à tort que la cour cantonale lui a dénié la qualité pour recourir selon l' art. 382 al. 1 CPP .</w:t>
      </w:r>
    </w:p>
    <w:p>
      <w:r>
        <w:rPr>
          <w:b/>
        </w:rPr>
        <w:t>E. 4</w:t>
      </w:r>
    </w:p>
    <w:p>
      <w:r>
        <w:t>Le recours doit être admis, l'arrêt attaqué annulé et la cause renvoyée à la cour cantonale pour qu'elle rende une nouvelle décision.</w:t>
      </w:r>
    </w:p>
    <w:p>
      <w:r>
        <w:t>Le recourant qui obtient gain de cause ne supportera pas de frais judiciaire ( art. 66 al. 1 LTF ). Il peut prétendre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