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6B_930/2019 vom 24. September 2019</w:t>
      </w:r>
    </w:p>
    <w:p>
      <w:r>
        <w:t>Bundesgericht, 2019-09-24, FR</w:t>
      </w:r>
    </w:p>
    <w:p>
      <w:r>
        <w:rPr>
          <w:b/>
        </w:rPr>
        <w:t xml:space="preserve">Quelle: </w:t>
      </w:r>
      <w:r>
        <w:t>https://mcp.opencaselaw.ch/entscheid/bger_6B_930_2019</w:t>
      </w:r>
    </w:p>
    <w:p>
      <w:r>
        <w:t>FR: TF 6B_930/2019 du 24 septembre 2019</w:t>
      </w:r>
    </w:p>
    <w:p>
      <w:r>
        <w:t>IT: TF 6B_930/2019 del 24 settembre 2019</w:t>
      </w:r>
    </w:p>
    <w:p>
      <w:pPr>
        <w:pStyle w:val="Heading2"/>
      </w:pPr>
      <w:r>
        <w:t>Erwägungen</w:t>
      </w:r>
    </w:p>
    <w:p>
      <w:r>
        <w:rPr>
          <w:b/>
        </w:rPr>
        <w:t>E. 1</w:t>
      </w:r>
    </w:p>
    <w:p>
      <w:r>
        <w:t>Le recours en matière pénale est ouvert contre les décisions sur l'exécution des peines et des mesures ( art. 78 al. 2 let. b LTF ).</w:t>
      </w:r>
    </w:p>
    <w:p>
      <w:r>
        <w:rPr>
          <w:b/>
        </w:rPr>
        <w:t>E. 2</w:t>
      </w:r>
    </w:p>
    <w:p>
      <w:r>
        <w:t>La demande de récusation présentée le 4 septembre 2019, formulée en bloc, est manifestement abusive et peut, en tant que telle, être écartée par la juridiction même qui est visée ( ATF 129 III 445 consid. 4.2.2 p. 464).</w:t>
      </w:r>
    </w:p>
    <w:p>
      <w:r>
        <w:rPr>
          <w:b/>
        </w:rPr>
        <w:t>E. 3</w:t>
      </w:r>
    </w:p>
    <w:p>
      <w:r>
        <w:t>Au plan formel, le recourant invoque que le juge qui a rejeté la requête d'effet suspensif présentée en instance cantonale, aurait dû se récuser parce qu'il aurait, antérieurement, fonctionné au sein de l'autorité de recours dans les procédures dans lesquelles les peines à exécuter ont été prononcées et qu'il aurait confirmé ces condamnations.</w:t>
      </w:r>
    </w:p>
    <w:p>
      <w:r>
        <w:t>Ce juge cantonal n'a pas participé à la décision entreprise (finale et de dernière instance cantonale) si bien que le grief a exclusivement trait à la validité de la décision de refus d'effet suspensif. Dite décision n'est pas finale, mais incidente. Notifiée séparément, elle n'a pas trait à la compétence ou à la récusation (cf. art. 92 LTF ). Le recours en matière pénale n'est donc recevable qu'aux conditions de l' art. 93 al. 3 LTF , qui exige en particulier, lorsque comme en l'espèce la décision incidente n'est attaquée qu'avec la décision finale, que celle-là influe sur le contenu de celle-ci. Or, le recourant ne s'exprime pas sur ce point et l'on ne perçoit pas concrètement en quoi le refus de l'effet suspensif aurait influencé le contenu de la décision sur l'entrée en exécution de peine. Un tel effet est d'autant plus improbable que la décision finale a été rendue le 12 août 2019, soit avant même l'échéance du terme d'exécution. Il s'ensuit que les conditions de recevabilité du recours contre une décision incidente ne sont pas établies à satisfaction de droit. Le recours est irrecevable sur ce premier point.</w:t>
      </w:r>
    </w:p>
    <w:p>
      <w:r>
        <w:rPr>
          <w:b/>
        </w:rPr>
        <w:t>E. 4</w:t>
      </w:r>
    </w:p>
    <w:p>
      <w:r>
        <w:t>Au fond, le recourant se plaint que la cour cantonale aurait ignoré un certificat médical du 31 juillet 2019 produit à l'appui du recours cantonal du même jour. Elle n'aurait pas tenu compte des critiques formulées à l'égard du médecin-conseil du Service pénitentiaire, qui n'aurait jamais analysé le dossier médical dans son ensemble ni même rencontré ou ausculté le recourant. La cour cantonale aurait également ignoré la demande du recourant tendant à la mise en oeuvre d'une expertise médicale indépendante et neutre. Le recourant affirme aussi, en se référant à son dossier médical dans son ensemble, qu'il devrait suivre un traitement rigoureux, afin de faire disparaître ses maux de tête, ce qui impliquerait des promenades dans la nature plusieurs heures par jour, d'éviter la fumée de cigarette et d'avoir des contacts réguliers avec le monde extérieur actif. Son incarcération en régime ordinaire ne permettrait pas d'assurer ce traitement, ce que la cour cantonale aurait arbitrairement omis de prendre en considération.</w:t>
      </w:r>
    </w:p>
    <w:p>
      <w:r>
        <w:rPr>
          <w:b/>
        </w:rPr>
        <w:t>E. 4.1</w:t>
      </w:r>
    </w:p>
    <w:p>
      <w:r>
        <w:t>Selon la jurisprudence, même lorsque, comme en l'espèce,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w:t>
      </w:r>
    </w:p>
    <w:p>
      <w:r>
        <w:t>sine die .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condamnés ainsi que la durée de la peine à exécuter (cf. arrêt 6B_1018/2018 du 10 janvier 2019 consid. 3 in fine et les références citées).</w:t>
      </w:r>
    </w:p>
    <w:p>
      <w:r>
        <w:rPr>
          <w:b/>
        </w:rPr>
        <w:t>E. 4.2</w:t>
      </w:r>
    </w:p>
    <w:p>
      <w:r>
        <w:t>En ce qui concerne le certificat médical produit à l'appui du recours cantonal, il convient de relever que la cour cantonale s'est référée, dans sa décision, à celui du 7 juin 2019, faisant état de céphalées en situation de stress. Elle a noté que ce document ne mentionnait pas que ces céphalées auraient été le signe d'une mise en danger de la vie ou de la santé du recourant (arrêt entrepris, consid. 3.2). Quant au rapport du 31 juillet 2019, il indique simplement que les consultations se sont poursuivies et que l'état de santé du patient est stable, l'intéressé souffrant toujours, ensuite d'un accident survenu en décembre 2017, de céphalées déclenchées en situation de stress.</w:t>
      </w:r>
    </w:p>
    <w:p>
      <w:r>
        <w:t>Sur ce point, le recourant n'invoque tout d'abord pas expressément la violation d'un droit fondamental et son argumentation ne répond manifestement pas aux exigences de motivation accrues déduites de l' art. 106 al. 2 LTF dont le respect se serait imposé pour discuter l'administration des preuves ou l'établissement des faits (cf. ATF 143 IV 500 consid. 1.1 p. 503). Ces développements sont ainsi irrecevables à la forme. Au demeurant, au vu du contenu des deux documents précités, il est patent que, dans la perspective d'une appréciation anticipée des preuves, la cour cantonale pouvait, sans arbitraire (cf. ATF 141 I 60 consid. 3.3 p. 64 et les références citées), se dispenser de discuter plus avant le contenu de la pièce produite à l'appui du recours cantonal et que, l'eût-elle néanmoins fait, elle serait, de toute manière, parvenue à la conclusion que cette pièce n'apportait aucun élément supplémentaire pertinent pour l'issue du litige (cf. ATF 133 I 270 consid. 3.1 p. 277; 126 I 15 consid. 2a/aa p. 16; 124 I 49 consid. 3a p. 51). Supposé recevable, ce grief devrait, de toute manière, être rejeté.</w:t>
      </w:r>
    </w:p>
    <w:p>
      <w:r>
        <w:rPr>
          <w:b/>
        </w:rPr>
        <w:t>E. 4.3</w:t>
      </w:r>
    </w:p>
    <w:p>
      <w:r>
        <w:t>En ce qui concerne les critiques visant le médecin-conseil, le recourant perd de vue que ce praticien n'a pas remis en question le diagnostic posé par le médecin traitant (l'existence de céphalées tensionnelles), lequel n'a pas fait état d'un risque très probable que le recourant puisse être atteint dans sa vie ou sa santé du seul fait de l'entrée en exécution de peine. En définitive, le médecin-conseil n'a fait que confirmer que la pathologie du recourant, pourrait, au besoin, être adéquatement prise en charge par le Service de médecine et de psychiatrie pénitentiaire et l'on ne voit pas ce qui contredirait cette opinion dans les pièces produites par le recourant. Les développements de ce dernier à ce sujet ne sont donc pas de nature non plus à remettre en question l'appréciation portée par la cour cantonale sur les pièces médicales figurant au dossier, moins encore à démontrer qu'il se serait imposé de procéder à une expertise judiciaire, respectivement qu'il aurait été insoutenable de ne pas l'ordonner. Pour le surplus, autant que, hormis les bienfaits de promenades dans la nature et de contacts réguliers avec le monde extérieur, le recourant invoque le besoin de ne pas être exposé à la fumée passive, il méconnaît que les établissements pénitentiaires ont l'obligation de prévoir des cellules non-fumeurs (cf. ATF 140 I 125 consid. 3.6.4 p. 140), si bien que cette question, qui relève de l'aménagement de ses conditions de détention, n'est pas pertinente dans la perspective de l'ajournement de l'exécution de la peine. Cela étant, il n'est pas démontré que l'entrée en exécution de peine pourrait très probablement entraîner des atteintes pour la vie ou la santé du recourant. Il n'est donc pas nécessaire de compléter la pesée des intérêts en considérant, en sus, le type et la gravité des faits à l'origine de la condamnation ainsi que la durée de la peine à exécuter.</w:t>
      </w:r>
    </w:p>
    <w:p>
      <w:r>
        <w:rPr>
          <w:b/>
        </w:rPr>
        <w:t>E. 5</w:t>
      </w:r>
    </w:p>
    <w:p>
      <w:r>
        <w:t>Au vu de ce qui précède, le recourant succombe. Il supporte les frais de la procédure, qui seront fixés en tenant compte de sa situation, qui n'apparaît pas favorable (art. 65 al. 2 et 66 al. 1 LTF). La demande de réexamen de l'ordonnance refusant la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