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92/2020 vom 7. April 2020</w:t>
      </w:r>
    </w:p>
    <w:p>
      <w:r>
        <w:t>Bundesgericht, 2020-04-07, FR</w:t>
      </w:r>
    </w:p>
    <w:p>
      <w:r>
        <w:rPr>
          <w:b/>
        </w:rPr>
        <w:t xml:space="preserve">Quelle: </w:t>
      </w:r>
      <w:r>
        <w:t>https://mcp.opencaselaw.ch/entscheid/bger_6B_92_2020</w:t>
      </w:r>
    </w:p>
    <w:p>
      <w:r>
        <w:t>FR: TF 6B 92/2020 du 7 avril 2020</w:t>
      </w:r>
    </w:p>
    <w:p>
      <w:r>
        <w:t>IT: TF 6B 92/2020 del 7 aprile 2020</w:t>
      </w:r>
    </w:p>
    <w:p>
      <w:pPr>
        <w:pStyle w:val="Heading2"/>
      </w:pPr>
      <w:r>
        <w:t>Regeste</w:t>
      </w:r>
    </w:p>
    <w:p>
      <w:r>
        <w:t>Encouragement à la prostitution, tentative de contrainte sexuelle, délit à la LStup | Infractions</w:t>
      </w:r>
    </w:p>
    <w:p>
      <w:pPr>
        <w:pStyle w:val="Heading2"/>
      </w:pPr>
      <w:r>
        <w:t>Erwägungen</w:t>
      </w:r>
    </w:p>
    <w:p>
      <w:r>
        <w:rPr>
          <w:b/>
        </w:rPr>
        <w:t>E. 1</w:t>
      </w:r>
    </w:p>
    <w:p>
      <w:r>
        <w:t>Le recourant conteste les faits qui lui sont imputés en lien avec C.________ et B.________. Il conteste toute coactivité dans l'encouragement à la prostitution ( art. 195 CP ). Il reproche à la cour cantonale d'avoir fait preuve d'arbitraire dans l'établissement des faits et l'appréciation des preuves et invoque la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 Déterminer ce qu'une personne a su, voulu, envisagé ou accepté relève du contenu de la pensée, à savoir de faits " internes " qui, en tant que tels, lient le Tribunal fédéral (cf. art. 105 al. 1 LTF ), à moins qu'ils aient été retenus de manière arbitraire (cf. ATF 141 IV 369 consid. 6.3 p. 375).</w:t>
      </w:r>
    </w:p>
    <w:p>
      <w:r>
        <w:rPr>
          <w:b/>
        </w:rPr>
        <w:t>E. 1.1.2</w:t>
      </w:r>
    </w:p>
    <w:p>
      <w:r>
        <w:t>Selon l' art. 195 let. b CP , est puni d'une peine privative de liberté de 10 ans au plus ou d'une peine pécuniaire, quiconque pousse autrui à se prostituer en profitant d'un rapport de dépendance ou dans le but d'en tirer un avantage patrimonial (cf. ancien art. 195 al. 2 CP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arrêt 6B_209/2018 du 23 novembre 2018 consid. 2.1.2, non publié in ATF 144 IV 332 ). Selon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Il n'est toutefois pas nécessaire que l'auteur recoure à la violence ou à la menace; la mise hors d'état de résister vise à englober les cas où l'auteur, pour parvenir à ses fins, rend la victime inconsciente, par exemple en lui administrant des somnifères ou de la drogue, ce qui le dispense de violences ou de menaces pour agir sans le consentement de sa victime ( ATF 122 IV 97 consid. 2b p. 100). Il y a tentative ( art. 22 al. 1 CP ) lorsque l'auteur a réalisé tous les éléments subjectifs de l'infraction et manifesté sa décision de la commettre, alors que les éléments objectifs font, en tout ou en partie, défaut ( ATF 140 IV 150 consid. 3.4 p. 152).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 ATF 140 IV 150 consid. 3.4 p. 152; 131 IV 100 consid. 7.2.1 p. 103 s.).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p. 104; arrêt 6B_157/2017 du 25 octobre 2017 consid. 3.1).</w:t>
      </w:r>
    </w:p>
    <w:p>
      <w:r>
        <w:rPr>
          <w:b/>
        </w:rPr>
        <w:t>E. 1.2.1</w:t>
      </w:r>
    </w:p>
    <w:p>
      <w:r>
        <w:t>En l'espèce, s'agissant des actes d'encouragement à la prostitution, la cour cantonale a retenu la version des faits de B.________, laquelle avait, en audience d'appel, paru parfaitement crédible dans ses explications, qui étaient claires, pondérées et dont il ne ressortait aucune exagération. Faisant sienne l'appréciation des premiers juges, la cour cantonale a relevé que leur intime conviction était fondée sur les circonstances du dévoilement des faits, la victime s'étant rendue spontanément à la police, bouleversée, alors même que son statut en Suisse aurait pu l'exposer à des inconvénients. Plusieurs détails dans son récit s'étaient révélés exacts et la victime paraissait parfaitement crédible. Selon le jugement par défaut du 20 juillet 2017 condamnant l'ex-compagne du recourant, il ne faisait aucun doute que les auteurs des SMS, à savoir F.________ et A.________, étaient les personnes à l'origine de la venue et du travail en Suisse de la victime. La cour cantonale a écarté la version des faits du recourant, selon laquelle seule son ex-compagne était impliquée, sous prétexte notamment qu'il n'aurait pas pu écrire des messages en roumain en raison de son origine albanaise. D'une part, les SMS avaient été envoyés depuis un téléphone dont il est établi qu'il l'utilisait pour son trafic de stupéfiants (écoutes téléphoniques) et l'essentiel des messages émanaient d'un auteur mâle au vu notamment des actes sexuels qu'il entendait faire subir à la victime ou à ses proches en les « baisant » en divers endroit du corps ou en la « déchirant ». D'autre part, le recourant, qui avait vécu en Roumanie, communiquait avec sa concubine dans cette langue et pouvait utiliser une application effectuant ou corrigeant la traduction en roumain, de sorte qu'il était à même de rédiger les messages en question. En outre, le recourant ne pouvait rien déduire en sa faveur du fait que la plainte de la victime était dirigée contre « inconnus », dès lors qu'à ce stade, l'identité d'état civil des deux auteurs désignés par la victime comme « G.________ » et « E.________ » n'était pas encore clarifiée. Au demeurant, l'implication des deux membres du couple était évidente dès la première audition de la victime, selon laquelle, les deux l'avaient incitée à se prostituer en proférant des menaces.</w:t>
      </w:r>
    </w:p>
    <w:p>
      <w:r>
        <w:rPr>
          <w:b/>
        </w:rPr>
        <w:t>E. 1.2.2</w:t>
      </w:r>
    </w:p>
    <w:p>
      <w:r>
        <w:t>Le recourant conteste toute coactivité dans les actes commis au préjudice de B.________ et impute l'ensemble des faits à son ex-compagne exclusivement. Son argumentation consiste, pour l'essentiel à une libre discussion des faits retenus par la cour cantonale, sans démontrer en quoi leur établissement serait arbitraire. Ce procédé, purement appellatoire, est irrecevable. Il en va notamment ainsi lorsqu'il conteste être l'auteur des SMS litigieux, en ignorant complètement la motivation cantonale sur ce point et en réaffirmant notamment qu'il est de langue maternelle albanaise ou lorsqu'il se livre à une interprétation personnelle des déclarations de son ex-compagne ainsi que de certains passages du jugement par défaut du 20 juillet 2017 la concernant, dont il ressort expressément que les faits ont été commis par les deux membres du couple. Le recourant est irrecevable à sélectionner certaines déclarations de la victime, les sortir de leur contexte et tenter d'en déduire que cette dernière ne l'aurait pas directement et nommément mis en cause. Il ressort expressément de la plainte que la victime l'a personnellement mis en cause (sous le surnom « E.________ »), dès sa première audition, en précisant que les deux membres du couple l'avaient acheminée à H.________ et l'avaient tous deux incitée à se prostituer en proférant des menaces au sujet de sa famille. En tant que le recourant se borne à constater que les anciennes collègues de la victime n'ont pas été entendues en cours d'enquête, il ne tente pas de démontrer la pertinence d'une telle audition et ne formule aucune critique contre le jugement cantonal sur ce point. Insuffisamment motivé, son grief est irrecevable. Il n'y a pas davantage lieu d'entrer en matière sur la simple affirmation selon laquelle les premiers juges se seraient basés sur un acte d'accusation « des plus sélectif et lacunaire ». Par ailleurs, l'on ne voit pas ce que le recourant entend déduire en sa faveur de l' art. 302 al. 1 CPP , qui prévoit l'obligation des autorités pénales de dénoncer les infractions constatées dans l'exercice de leurs fonctions, alors-même qu'il a fait l'objet d'une procédure pénale ouverte à la suite de la plainte déposée par la victime le 21 février 2011, à savoir bien avant le jugement par défaut de 2017. Enfin, le principe de l'unité de la procédure ( art. 29 al. 1 CPP ) n'est d'aucune utilité au recourant, dans la mesure où l' art. 30 CPP prévoit expressément des exceptions à ce principe à certaines conditions objectives dont il n'est pas contesté qu'elles sont réunies en l'espèce (cf. ATF 138 IV 29 consid. 3.2 p. 31).</w:t>
      </w:r>
    </w:p>
    <w:p>
      <w:r>
        <w:rPr>
          <w:b/>
        </w:rPr>
        <w:t>E. 1.3.1</w:t>
      </w:r>
    </w:p>
    <w:p>
      <w:r>
        <w:t>S'agissant des actes commis le 22 mai 2012, concernant C.________, la cour cantonale a fait sienne l'appréciation des premiers juges, selon lesquels la victime avait paru sincère lors de son audition aux débats et avait témoigné avec émotion, ce qui renforçait sa crédibilité. Ses explications étaient cohérentes, constantes, comportaient des détails précis et n'étaient contredites par aucun élément objectif du dossier. La victime s'était également confiée à son colocataire sur ce qui lui était arrivé à l'époque des faits. A l'inverse, les explications invraisemblables fournies par le recourant sur les motivations de la victime, qui sont allées en exagérant au fur et à mesure de l'avancement de la procédure, ne convainquaient absolument pas. Il pouvait facilement avoir accès ou disposer de méthamphétamine, du fait qu'il était impliqué dans un trafic de stupéfiants. Les faits étaient confirmés par la détection médicale de la drogue dans le corps de la victime, la plainte immédiate de cette dernière et ses confidences à son colocataire de l'époque. Les affirmations du recourant selon lesquelles la victime aurait inventé les faits pour se venger de lui en raison d'un conflit de locataires dans l'immeuble étaient grotesques, le colocataire n'ayant pas confirmé ce prétexte fumeux, au demeurant incompatible avec la précision du récit, sa crédibilité et les inconvénients psychiques qu'aurait entraîné une dénonciation calomnieuse impliquant de se droguer au préalable. En outre, rien ne confirmait l'affirmation gratuite du recourant selon laquelle la drogue médicalement détectée proviendrait d'une consommation volontaire de la victime, le dossier ne comportant aucun indice de toxicomanie, même occasionnelle ou à l'essai. L'intention sexuelle du recourant ressortait de l'objectif visé lors de l'administration occulte de la drogue, du massage aux épaules ayant dérivé aux reins de la victime à même la peau, de la respiration lourde et excitée du recourant, du rapprochement des bassins qu'il a initié, des tentatives de retenir la victime dans ses bras tout en lui offrant son lit et de son geste consistant à jouer avec le piercing ornant la lèvre de la victime comme s'il voulait l'embrasser.</w:t>
      </w:r>
    </w:p>
    <w:p>
      <w:r>
        <w:rPr>
          <w:b/>
        </w:rPr>
        <w:t>E. 1.3.2</w:t>
      </w:r>
    </w:p>
    <w:p>
      <w:r>
        <w:t>Le recourant conteste les faits qui lui sont reprochés en lien avec C.________, en se livrant à nouveau à une présentation personnelle de ceux-ci et à une libre interprétation des déclarations et comportements de la victime. Un tel procédé, purement appellatoire, est irrecevable. C'est le cas notamment lorsqu'il prétend que l'attitude de la victime consistant à ne consulter un centre LAVI que six ans après les faits « laisse songeur », sans critiquer d'aucune manière la motivation cantonale relevant la pertinence des explications fournies par la victime sur ce point (reprise de l'instruction et extradition du recourant en 2018, réminiscences au moment de la réception des convocations, etc.). Il en va de même de l'appréciation personnelle que fait le recourant de certaines déclarations ou attitudes de la victime, pour en déduire une inconstance du récit de cette dernière (notamment ses habitudes lorsqu'elle prend son verre aux toilettes), une dénonciation calomnieuse par mesure de rétorsion (car il aurait obtenu un appartement par copinage) ou pour mettre en cause le motif et le déroulement de leur rencontre. En tant que le recourant suggère que la victime aurait consommé de la méthamphétamine de son propre chef, il se contente à nouveau d'apporter sa propre vision des événements, sans tenter de démontrer l'arbitraire dans l'établissement des faits et l'appréciation des preuves de la cour cantonale. Il ne saurait davantage déduire de ses propres affirmations un défaut d'intention de sa part, étant rappelé que le contenu de la pensée relève des faits (cf. supra consid. 1.1.1). C'est en vain que le recourant insiste sur le fait qu'il n'a ni menacé ni étranglé ni fait de mal à la victime, dès lors que de tels comportements ne lui sont pas reprochés.</w:t>
      </w:r>
    </w:p>
    <w:p>
      <w:r>
        <w:rPr>
          <w:b/>
        </w:rPr>
        <w:t>E. 1.4</w:t>
      </w:r>
    </w:p>
    <w:p>
      <w:r>
        <w:t>Pour le reste, le recourant ne développe aucun grief répondant aux exigences de motivation de l' art. 42 al. 2 LTF concernant une éventuelle violation des art. 189 CP (en lien avec l' art. 22 al. 1 CP ) et 195 CP.</w:t>
      </w:r>
    </w:p>
    <w:p>
      <w:r>
        <w:rPr>
          <w:b/>
        </w:rPr>
        <w:t>E. 2</w:t>
      </w:r>
    </w:p>
    <w:p>
      <w:r>
        <w:t>Le recourant conteste sa peine et invoque une violation des art. 47 et 48 let . e CP.</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A teneur de l' art. 48 let .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 ATF 140 IV 145 consid. 3.1 p. 147). L' art. 49 CP régit le concours d'infractions.</w:t>
      </w:r>
    </w:p>
    <w:p>
      <w:r>
        <w:rPr>
          <w:b/>
        </w:rPr>
        <w:t>E. 2.2</w:t>
      </w:r>
    </w:p>
    <w:p>
      <w:r>
        <w:t>La cour cantonale a, à l'instar des premiers juges, retenu en substance une culpabilité très lourde, la variété des biens juridiques lésés, le mobile égoïste de satisfaction sexuelle et d'appât du gain, le mépris des autres, la détestable exploitation par contrainte d'une femme réduite à la prostitution, l'enracinement dans la délinquance avant et après les faits à juger, ainsi que les tentatives de reporter la faute sur les autres. La cour cantonale a considéré que, même adoucie par la relative ancienneté des faits, la culpabilité induite par la série d'infractions graves à la LStup imposait de fixer une peine privative de liberté de base de l'ordre de 3 ans. L'entreprise d'esclavage sexuel particulièrement odieuse justifiait une aggravation de la peine de base de l'ordre de 20 mois. Enfin, la cour cantonale a retenu que le recourant avait fait preuve d'une perversité particulière en droguant une jeune voisine pour tenter d'abuser d'elle, étant relevé que seules la vigilance et la volonté de la victime lui avaient permis d'échapper à la réalisation des abus sexuels. Tenant compte notamment de la tentative et de l'écoulement du temps la cour cantonale a limité le « supplément de sanction » pour ces faits à 4 mois de peine privative de liberté. Une peine pécuniaire n'était pas concevable pour des motifs de prévention spéciale, les infractions commises démontraient que le recourant considérait les autres comme des objets à exploiter, en particulier les femmes. En définitive, c'est une peine privative de liberté globale de 5 ans qui a été prononcée.</w:t>
      </w:r>
    </w:p>
    <w:p>
      <w:r>
        <w:rPr>
          <w:b/>
        </w:rPr>
        <w:t>E. 2.3</w:t>
      </w:r>
    </w:p>
    <w:p>
      <w:r>
        <w:t>On ne voit pas ce que le recourant entend déduire du fait qu'il a été incarcéré depuis 2013 en Macédoine et n'aurait pas pu bénéficier de la libération conditionnelle en 2015 en raison de la présente affaire. Faute d'être dirigé contre la décision cantonale en cause, son grief est irrecevable ( art. 80 al. 1 LTF ). Le recourant ne saurait se prévaloir de l'interdiction de la reformatio in pejus dans la mesure où l'augmentation de la peine fixée en première instance par la cour cantonale résulte de l'admission de l'appel formé sur ce point par le ministère public (cf. art. 391 al. 2, 1ère phrase, CPP). Le recourant s'écarte de manière inadmissible des faits retenus par la cour cantonale qui lient le Tribunal fédéral ( art. 105 al. 1 LTF ), en tant qu'il affirme avoir « pris conscience de ses erreurs », qu'il « les regrette amèrement depuis sept ans de détention » et qu'il souligne sa « bonne collaboration (...) avec les autorités pénales » tout en relevant qu'il « n'entend pas récidiver ». De telles affirmations entrent au demeurant en contradiction manifeste avec le reste de l'argumentation du recourant, lequel nie encore à ce stade avoir commis des infractions au préjudice des victimes d'encouragement à la prostitution et de tentative de contrainte sexuelle. Le rapport du directeur de la prison où il est incarcéré ne saurait servir d'appui à ses prétendus regrets et prise de conscience. Contrairement à ce que prétend le recourant, la cour cantonale a tenu compte de la relative ancienneté des faits et leur a attribué une portée atténuante. C'est sans violer le droit fédéral que la cour cantonale n'a pas atténué la peine en vertu de l' art. 48 let . e CP, les deux tiers du délai de prescription des crimes (10 ans) n'étant pas acquis et le recourant - condamné le 19 février 2013 à une peine de 5 ans et demi en Macédoine pour trafic de stupéfiants - ne s'étant pas bien comporté dans l'intervalle. Au demeurant, l'on ne saurait considérer que la nature et la gravité des infractions en cause supposeraient qu'il soit tenu compte, en l'espèce, d'une durée moins importante que les deux tiers du délai de prescription. En définitive, le recourant n'invoque aucun élément important propre à modifier la peine, qui aurait été omis ou pris en considération à tort par la cour cantonale. Au regard des circonstances, la peine infligée n'apparaît pas sévère au point de constituer un abus du pouvoir d'appréciation.</w:t>
      </w:r>
    </w:p>
    <w:p>
      <w:r>
        <w:rPr>
          <w:b/>
        </w:rPr>
        <w:t>E. 3</w:t>
      </w:r>
    </w:p>
    <w:p>
      <w:r>
        <w:t>Au vu de ce qui précède, le recours doit être rejeté dans la mesure où il est recevable. Comme il était dépourvu de chances de succès, la demande d'assistance judiciaire doit être rejetée ( art. 64 al. 1 LTF ). Le recourant, qui succombe, devra donc supporter les frais judiciaires ( art. 66 al. 1 LTF ), dont le montant sera toutefois fixé en tenant compte de sa situation financière qui n'apparaît pas favorable ( art. 65 al. 2 LTF ). Les intimées, qui n'ont pas été invitées à se déterminer, ne sauraient prétendre à des dépens ( art. 68 al. 1 LTF ).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