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928/2024 vom 5. Dezember 2024</w:t>
      </w:r>
    </w:p>
    <w:p>
      <w:r>
        <w:t>Bundesgericht, 2024-12-05, FR</w:t>
      </w:r>
    </w:p>
    <w:p>
      <w:r>
        <w:rPr>
          <w:b/>
        </w:rPr>
        <w:t xml:space="preserve">Quelle: </w:t>
      </w:r>
      <w:r>
        <w:t>https://mcp.opencaselaw.ch/entscheid/bger_6B_928_2024</w:t>
      </w:r>
    </w:p>
    <w:p>
      <w:r>
        <w:t>FR: TF 6B 928/2024 du 5 décembre 2024</w:t>
      </w:r>
    </w:p>
    <w:p>
      <w:r>
        <w:t>IT: TF 6B 928/2024 del 5 dicembre 2024</w:t>
      </w:r>
    </w:p>
    <w:p>
      <w:pPr>
        <w:pStyle w:val="Heading2"/>
      </w:pPr>
      <w:r>
        <w:t>Regeste</w:t>
      </w:r>
    </w:p>
    <w:p>
      <w:r>
        <w:t>Irrecevabilité formelle du recours en matière pénale; recours tardif (contrainte; diffamation; injures) | Infractions</w:t>
      </w:r>
    </w:p>
    <w:p>
      <w:pPr>
        <w:pStyle w:val="Heading2"/>
      </w:pPr>
      <w:r>
        <w:t>Erwägungen</w:t>
      </w:r>
    </w:p>
    <w:p>
      <w:r>
        <w:rPr>
          <w:b/>
        </w:rPr>
        <w:t>E. 1</w:t>
      </w:r>
    </w:p>
    <w:p>
      <w:r>
        <w:t>Par acte daté du 13 octobre 2024, mais remis à La Poste le 14 novembre 2024, A.________ recourt en matière pénale au Tribunal fédéral contre la décision citée sous rubrique.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les parties sont pourvues d'un conseil juridique, les communications sont valablement notifiées à celui-ci ( art. 87 al. 3 CPP ).</w:t>
      </w:r>
    </w:p>
    <w:p>
      <w:r>
        <w:rPr>
          <w:b/>
        </w:rPr>
        <w:t>E. 3</w:t>
      </w:r>
    </w:p>
    <w:p>
      <w:r>
        <w:t>Selon les informations fournies par La Poste, l'envoi recommandé contenant la décision entreprise a été notifié le 14 octobre 2024 au conseil en procédure cantonale du recourant, de sorte que le délai de recours a commencé à courir le lendemain pour échoir le 13 novembre 2024. Remis à La Poste le jour suivant, le recours est tardif.</w:t>
      </w:r>
    </w:p>
    <w:p>
      <w:r>
        <w:rPr>
          <w:b/>
        </w:rPr>
        <w:t>E. 4</w:t>
      </w:r>
    </w:p>
    <w:p>
      <w:r>
        <w:t>De surcroît, 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5</w:t>
      </w:r>
    </w:p>
    <w:p>
      <w:r>
        <w:t>En l'espèce, on recherche en vain dans la très brève écriture de recours toute conclusion formelle ainsi que toute critique précise des questions de droit tranchées par la décision de dernière instance cantonale. Le recourant y discute en revanche librement des faits dans une démarche manifestement appellatoire irrecevable dans un recours en matière pénale.</w:t>
      </w:r>
    </w:p>
    <w:p>
      <w:r>
        <w:rPr>
          <w:b/>
        </w:rPr>
        <w:t>E. 6</w:t>
      </w:r>
    </w:p>
    <w:p>
      <w:r>
        <w:t>Le recours est tardif et sa motivation manifestement insuffisante, ce qui doit être constaté dans la procédure prévue par l' art. 108 al. 1 let. a et b LTF . Le recourant supporte les frais de la procédure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