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6B_928/2021 vom 27. September 2021</w:t>
      </w:r>
    </w:p>
    <w:p>
      <w:r>
        <w:t>Bundesgericht, 2021-09-27, FR</w:t>
      </w:r>
    </w:p>
    <w:p>
      <w:r>
        <w:rPr>
          <w:b/>
        </w:rPr>
        <w:t xml:space="preserve">Quelle: </w:t>
      </w:r>
      <w:r>
        <w:t>https://mcp.opencaselaw.ch/entscheid/bger_6B_928_2021</w:t>
      </w:r>
    </w:p>
    <w:p>
      <w:r>
        <w:t>FR: TF 6B_928/2021 du 27 septembre 2021</w:t>
      </w:r>
    </w:p>
    <w:p>
      <w:r>
        <w:t>IT: TF 6B_928/2021 del 27 settembre 2021</w:t>
      </w:r>
    </w:p>
    <w:p>
      <w:pPr>
        <w:pStyle w:val="Heading2"/>
      </w:pPr>
      <w:r>
        <w:t>Erwägungen</w:t>
      </w:r>
    </w:p>
    <w:p>
      <w:r>
        <w:rPr>
          <w:b/>
        </w:rPr>
        <w:t>E. 1</w:t>
      </w:r>
    </w:p>
    <w:p>
      <w:r>
        <w:t>Par acte du 19 août 2021, rédigé en français, A.________ recourt en matière pénale au Tribunal fédéral contre une décision de la Cour suprême du canton de Berne, du 11 août 2021, par laquelle cette autorité a rejeté le recours formé par l'intéressé contre une décision du 19 juillet 2021. Par cette dernière, le Ministère public régional Emmental-Oberaargau a refusé d'entrer en matière sur la plainte adressée à la police par A.________ le 18 juin puis complétée le 7 juillet 2021. A.________ requiert le bénéfice de l'assistance judiciaire, soit qu'un avocat lui soit désigné.</w:t>
      </w:r>
    </w:p>
    <w:p>
      <w:r>
        <w:rPr>
          <w:b/>
        </w:rPr>
        <w:t>E. 2</w:t>
      </w:r>
    </w:p>
    <w:p>
      <w:r>
        <w:t>La langue de la procédure est généralement celle de la décision attaquée ( art. 54 al. 1 LTF ). Il convient exceptionnellement de traiter le recours en français.</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w:t>
      </w:r>
    </w:p>
    <w:p>
      <w:r>
        <w:rPr>
          <w:b/>
        </w:rPr>
        <w:t>E. 4</w:t>
      </w:r>
    </w:p>
    <w:p>
      <w:r>
        <w:t>En l'espèce, la cour cantonale a jugé qu'il ne ressortait du dossier aucun indice de la commission d'une infraction. Les explications du recourant étaient vagues et indéterminées et ne décrivaient aucun état de fait. Ses écritures ne contenaient aucune précision sur ce point qui permette de montrer concrètement en quoi la décision du 19 juillet 2021 aurait été erronée.</w:t>
      </w:r>
    </w:p>
    <w:p>
      <w:r>
        <w:rPr>
          <w:b/>
        </w:rPr>
        <w:t>E. 5</w:t>
      </w:r>
    </w:p>
    <w:p>
      <w:r>
        <w:t>En procédure fédérale, le recourant se borne à affirmer porter plainte et à énumérer sans la moindre précision concrète des infractions (abus de confiance, torture psychique et morale, lésions corporelles graves, trafique d'influence, etc.) dont il serait victime depuis plusieurs années. Il mentionne aussi les art. 30, 32 CP et 9 CPP. Ces quelques indications ne permettent de comprendre ni dans quel sens le recourant voudrait voir modifiée la décision cantonale ni en quoi il critique la motivation de cette décision.</w:t>
      </w:r>
    </w:p>
    <w:p>
      <w:r>
        <w:rPr>
          <w:b/>
        </w:rPr>
        <w:t>E. 6</w:t>
      </w:r>
    </w:p>
    <w:p>
      <w:r>
        <w:t>L'insuffisance de la motivation du recours est manifeste. Elle doit être constatée dans la procédure prévue par l' art. 108 al. 1 let. b LTF . Le recours était d'emblée dénué de chances de succès, ce qui conduit au refus de l'assistance judiciaire ( art. 64 al. 1 et 3 LTF ). Le recourant supporte les frais de la procédure, qui seront fixés en tenant compte de sa situation financière qui n'apparaît pas favorable en raison de sa détention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