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6B_928/2016 vom 28. März 2017</w:t>
      </w:r>
    </w:p>
    <w:p>
      <w:r>
        <w:t>Bundesgericht, 2017-03-28, FR</w:t>
      </w:r>
    </w:p>
    <w:p>
      <w:r>
        <w:rPr>
          <w:b/>
        </w:rPr>
        <w:t xml:space="preserve">Quelle: </w:t>
      </w:r>
      <w:r>
        <w:t>https://mcp.opencaselaw.ch/entscheid/bger_6B_928_2016</w:t>
      </w:r>
    </w:p>
    <w:p>
      <w:r>
        <w:t>FR: TF 6B_928/2016 du 28 mars 2017</w:t>
      </w:r>
    </w:p>
    <w:p>
      <w:r>
        <w:t>IT: TF 6B_928/2016 del 28 marzo 2017</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et par lésé toute personne dont les droits ont été touchés directement par une infraction ( art. 115 al. 1 CPP ).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cela suppose que la partie plaignante fasse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du premier degré ( art. 123 al. 2 CPP ; arrêt 6B_1238/2014 du 4 novembre 2015). Selon l' art. 42 al. 1 LTF , il incombe au recourant d'alléguer les faits qu'il considère comme propres à fonder sa qualité pour recourir ( ATF 141 IV 1 consid. 1.1 p. 4 et les références citées).</w:t>
      </w:r>
    </w:p>
    <w:p>
      <w:r>
        <w:rPr>
          <w:b/>
        </w:rPr>
        <w:t>E. 1.2</w:t>
      </w:r>
    </w:p>
    <w:p>
      <w:r>
        <w:t>En l'espèce, les recourants réclament, à titre de prétentions civiles, les montants alloués par le premier juge pour le remboursement de leurs frais de comparution (800 fr.) et d'honoraires d'avocat (8'437 fr.15), ainsi que le versement d'une indemnité de 1'200 fr. au sens de l' art. 433 CPP . Comme la jurisprudence l'a rappelé à maintes reprises, les frais liés aux démarches judiciaires de la partie plaignante ne sauraient constituer des prétentions civiles au sens de l'art. 81 al. 1 let. a et b ch. 5 LTF en tant qu'ils ne découlent pas directement de l'infraction (arrêts 6B_1166/2015 du 27 juin 2016 consid. 1.1; 6B_768/2013 du 12 novembre 2013 consid. 1.3). Admettre un droit de recours à raison d'une prétention relative aux frais judiciaires ou aux frais d'avocat permettrait de contourner systématiquement l' art. 81 al. 1 let. a et b LTF , indépendamment des prétentions de fond que la partie plaignante entend élever (arrêts 6B_245/2016 du 20 décembre 2016 consid. 1.1; 6B_1118/2013 du 3 avril 2014 consid. 3 et 1B_712/2011 du 3 avril 2012 consid. 1.3). Par conséquent, faute de faire valoir des prétentions civiles au sens de l' art. 81 al. 1 let. a et b LTF , les recourants n'ont pas qualité pour recourir.</w:t>
      </w:r>
    </w:p>
    <w:p>
      <w:r>
        <w:t>C'est ainsi également en vain que les recourants invoquent une action civile introduite par l'intimé qui leur réclame des honoraires, prétendument dus, en lien avec la présente procédure pour faire valoir que l'admission de leurs conclusions civiles aurait une incidence directe sur la procédure intentée à leur encontre sous l'angle civil.</w:t>
      </w:r>
    </w:p>
    <w:p>
      <w:r>
        <w:t>Pour le surplus, les recourants n'invoquent aucun dommage civil qui découlerait directement de l'infraction (cf. art. 115 al. 1 CPP ), étant précisé qu'ils ne prétendent plus à une indemnisation pour tort moral, dont ils ont été déboutés de manière définitive par le jugement du 30 juin 2015, qui est entré en force sur ce point.</w:t>
      </w:r>
    </w:p>
    <w:p>
      <w:r>
        <w:t>En définitive, les prétentions articulées ne répondent donc pas aux exigences de la jurisprudence rappelée ci-dessus et ne fondent en conséquence pas la qualité pour recourir sur la base de l'art. 81 al. 1 let. a et b ch. 5 LTF.</w:t>
      </w:r>
    </w:p>
    <w:p>
      <w:r>
        <w:rPr>
          <w:b/>
        </w:rPr>
        <w:t>E. 1.3</w:t>
      </w:r>
    </w:p>
    <w:p>
      <w:r>
        <w:t>L'hypothèse visée à l'art. 81 al. 1 let. b ch. 6 LTF n'entre pas en considération, les recourants ne soulevant aucun grief recevable quant à leur droit de porter plainte (cf. art. 42 al. 2 et 106 al. 2 LTF).</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w:t>
      </w:r>
    </w:p>
    <w:p>
      <w:r>
        <w:t>Sur le vu de ce qui précède, le recours doit être déclaré irrecevable selon la procédure simplifiée prévue par l' art. 108 al. 1 let. a LTF .</w:t>
      </w:r>
    </w:p>
    <w:p>
      <w:r>
        <w:rPr>
          <w:b/>
        </w:rPr>
        <w:t>E. 3</w:t>
      </w:r>
    </w:p>
    <w:p>
      <w:r>
        <w:t>Les recourants supportent les frais ( art. 66 al. 1 LTF ) conjointement et solidairement ( art. 66 al. 5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