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6B_927/2020 vom 29. Oktober 2020</w:t>
      </w:r>
    </w:p>
    <w:p>
      <w:r>
        <w:t>Bundesgericht, 2020-10-29, FR</w:t>
      </w:r>
    </w:p>
    <w:p>
      <w:r>
        <w:rPr>
          <w:b/>
        </w:rPr>
        <w:t xml:space="preserve">Quelle: </w:t>
      </w:r>
      <w:r>
        <w:t>https://mcp.opencaselaw.ch/entscheid/bger_6B_927_2020</w:t>
      </w:r>
    </w:p>
    <w:p>
      <w:r>
        <w:t>FR: TF 6B_927/2020 du 29 octobre 2020</w:t>
      </w:r>
    </w:p>
    <w:p>
      <w:r>
        <w:t>IT: TF 6B_927/2020 del 29 ottobre 2020</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ensuite du recours en matière pénale qu'elle a formé par acte daté du 15 août 2020, A.________ a été invitée à s'acquitter d'une avance de frais de 800 fr. jusqu'au 2 octobre 2020 par ordonnance du 17 septembre 2020. En l'absence de paiement, un délai supplémentaire échéant le 20 octobre 2020 lui a été imparti par ordonnance du 9 octobre 2020, avec l'indication des conséquences du défaut de paiement de cette avance ( art. 62 al. 3 LTF ). A.________ n'a pas réagi à cette communication. Elle n'a pas non plus requis d'être dispensée d'avancer les frais de la procédure. Il s'ensuit que les frais de la cause n'ont pas été avancés, ce qui entraîne l'irrecevabilité du recours.</w:t>
      </w:r>
    </w:p>
    <w:p>
      <w:r>
        <w:rPr>
          <w:b/>
        </w:rPr>
        <w:t>E. 2</w:t>
      </w:r>
    </w:p>
    <w:p>
      <w:r>
        <w:t>Par surabondance,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décision entreprise fait suite à une ordonnance du 8 novembre 2019 par laquelle le ministère public a refusé d'entrer en matière sur une dénonciation pénale dirigée par l'Autorité de protection de l'enfant et de l'adulte (APEA) contre le père de B.________, fille de la recourante. L'autorité de dernière instance cantonale a déclaré le recours irrecevable, faute de qualité pour recourir de A.________, cette dernière n'ayant pas fait valoir, en tant que proche de la victime de l'infraction dénoncée, des prétentions civiles propres (art. 117 al. 3 et 122 al. 2 CPP). La cour cantonale a également souligné que l'intéressée ne pouvait pas représenter valablement sa fille dès lors qu'une curatelle de représentation avait été instituée en faveur de cette dernière.</w:t>
      </w:r>
    </w:p>
    <w:p>
      <w:r>
        <w:t>Dans son écriture du 15 août 2020, la recourante discute essentiellement les faits à la base de la dénonciation pénale et les circonstances dans lesquelles cette démarche a été entreprise. Si elle critique aussi l'activité de la curatrice de représentation de sa fille, elle n'allègue d'aucune manière que cette mesure, dont la cour cantonale a constaté qu'elle était en force, aurait été levée. Il suffit dès lors de rappeler qu'il n'incombe pas à l'autorité pénale de réexaminer le bienfondé de cette mesure de protection civile, si bien que cette argumentation est sans pertinence pour l'issue du litige devant le Tribunal fédéral. On recherche ainsi en vain toute motivation topique dans l'écriture de recours.</w:t>
      </w:r>
    </w:p>
    <w:p>
      <w:r>
        <w:rPr>
          <w:b/>
        </w:rPr>
        <w:t>E. 3</w:t>
      </w:r>
    </w:p>
    <w:p>
      <w:r>
        <w:t>L'irrecevabilité du recours doit être constatée en application de l' art. 108 al. 1 let. a et b LTF . En tant que la recourante paraît avoir sollicité, de manière peu claire, la désignation d'un conseil d'office dans son recours en matière pénale pour sa fille, il suffit de renvoyer à ce qui vient d'être exposé à propos de la curatelle, en soulignant que la décision de dernière instance cantonale a été notifiée à la curatrice de l'enfant, qui est avocate.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