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6B_926/2019 vom 21. August 2019</w:t>
      </w:r>
    </w:p>
    <w:p>
      <w:r>
        <w:t>Bundesgericht, 2019-08-21, DE</w:t>
      </w:r>
    </w:p>
    <w:p>
      <w:r>
        <w:rPr>
          <w:b/>
        </w:rPr>
        <w:t xml:space="preserve">Quelle: </w:t>
      </w:r>
      <w:r>
        <w:t>https://mcp.opencaselaw.ch/entscheid/bger_6B_926_2019</w:t>
      </w:r>
    </w:p>
    <w:p>
      <w:r>
        <w:t>FR: TF 6B_926/2019 du 21 août 2019</w:t>
      </w:r>
    </w:p>
    <w:p>
      <w:r>
        <w:t>IT: TF 6B_926/2019 del 21 agosto 2019</w:t>
      </w:r>
    </w:p>
    <w:p>
      <w:pPr>
        <w:pStyle w:val="Heading2"/>
      </w:pPr>
      <w:r>
        <w:t>Erwägungen</w:t>
      </w:r>
    </w:p>
    <w:p>
      <w:r>
        <w:rPr>
          <w:b/>
        </w:rPr>
        <w:t>E. 1</w:t>
      </w:r>
    </w:p>
    <w:p>
      <w:r>
        <w:t>Der Entscheid des Amts für Justizvollzug, Bewährungs- und Vollzugsdienste, Strafvollzugsdienst, vom 18. April 2019 betreffend Vorladung in den Strafvollzug ist bzw. wäre gemäss Rechtsmittelbelehrung bei der Direktion der Justiz und des Innern des Kantons Zürich mit Rekurs anfechtbar. Er ist folglich nicht letztinstanzlich. Auf die Beschwerde an das Bundesgericht ist daher in Anwendung von Art. 80 Abs. 1 BGG im Verfahren nach Art. 108 BGG nicht einzutreten. Auf eine Weiterleitung der Eingabe wird verzichtet, zumal sich der Beschwerdeführer offensichtlich gleichzeitig auch an die Direktion der Justiz und des Innern gewandt hat.</w:t>
      </w:r>
    </w:p>
    <w:p>
      <w:r>
        <w:rPr>
          <w:b/>
        </w:rPr>
        <w:t>E. 2</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