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6B_926/2017 vom 9. März 2018</w:t>
      </w:r>
    </w:p>
    <w:p>
      <w:r>
        <w:t>Bundesgericht, 2018-03-09, DE</w:t>
      </w:r>
    </w:p>
    <w:p>
      <w:r>
        <w:rPr>
          <w:b/>
        </w:rPr>
        <w:t xml:space="preserve">Quelle: </w:t>
      </w:r>
      <w:r>
        <w:t>https://mcp.opencaselaw.ch/entscheid/bger_6B_926_2017</w:t>
      </w:r>
    </w:p>
    <w:p>
      <w:r>
        <w:t>FR: TF 6B_926/2017 du 9 mars 2018</w:t>
      </w:r>
    </w:p>
    <w:p>
      <w:r>
        <w:t>IT: TF 6B_926/2017 del 9 marzo 2018</w:t>
      </w:r>
    </w:p>
    <w:p>
      <w:pPr>
        <w:pStyle w:val="Heading2"/>
      </w:pPr>
      <w:r>
        <w:t>Erwägungen</w:t>
      </w:r>
    </w:p>
    <w:p>
      <w:r>
        <w:rPr>
          <w:b/>
        </w:rPr>
        <w:t>E. 1.1</w:t>
      </w:r>
    </w:p>
    <w:p>
      <w:r>
        <w:t>Der Beschwerdeführer rügt, die Vorinstanz verletze Bundesrecht, namentlich auch seinen Anspruch auf rechtliches Gehör, indem sie ohne jegliche Begründung und in gänzlicher Missachtung seiner Vorbringen von der Aussichtslosigkeit der ambulanten Massnahme und von deren Aufhebung ausgegangen sei. Es habe sachliche und von ihm nicht beeinflussbare Gründe gegeben, warum er die ambulante Massnahme nicht habe antreten können (Beschwerde S. 4-7).</w:t>
      </w:r>
    </w:p>
    <w:p>
      <w:r>
        <w:rPr>
          <w:b/>
        </w:rPr>
        <w:t>E. 1.2</w:t>
      </w:r>
    </w:p>
    <w:p>
      <w:r>
        <w:t>Gemäss Art. 63a Abs. 2 lit. b StGB hebt die zuständige Behörde die ambulante Behandlung auf, wenn deren Fortführung als aussichtslos erscheint. Gegen eine solche Verfügung steht nach Erschöpfung des kantonalen Instanzenzugs die Beschwerde in Strafsachen offen ( Art. 78 Abs. 2 lit. b BGG ). Erwächst die Verfügung in Rechtskraft, hat das zuständige Gericht auf Antrag der Vollzugsbehörde über die Konsequenzen zu befinden. Dem Gericht obliegt es zu prüfen, ob die aufgeschobene Freiheitsstrafe zu vollziehen ( Art. 63b Abs. 2 StGB ) oder eine stationäre therapeutische Massnahme nach den Art. 59-61 StGB anzuordnen ist ( Art. 63b Abs. 5 StGB ). Ferner hat es zu entscheiden, inwieweit der mit der ambulanten Behandlung verbundene Freiheitsentzug auf die Strafe angerechnet wird. Liegen in Bezug auf die Reststrafe die Voraussetzungen der bedingten Entlassung oder der bedingten Freiheitsstrafe vor, so schiebt es den Vollzug auf ( Art. 63b Abs. 4 StGB ).</w:t>
      </w:r>
    </w:p>
    <w:p>
      <w:r>
        <w:rPr>
          <w:b/>
        </w:rPr>
        <w:t>E. 1.3</w:t>
      </w:r>
    </w:p>
    <w:p>
      <w:r>
        <w:t>Die Vorbringen des Beschwerdeführers gehen an der Sache vorbei. Dieser scheint zu verkennen, dass das JUV die Vollzugsbemühungen für die ambulante Massnahme mit Verfügung vom 21. Januar 2014 einstellte und dass dieser Entscheid in Rechtskraft erwuchs. Mit dieser Verfügung wurde der Entscheid, die ambulante Massnahme aufzuheben, rechtskräftig. Mithin verletzt die Vorinstanz den Anspruch des Beschwerdeführers auf rechtliches Gehör nicht, wenn sie sich im vorliegenden Verfahren, bei dem es um die Rechtsfolgen nach der rechtskräftigen Aufhebung der ambulanten Massnahme geht, nicht bzw. nicht vertieft zu seinen Einwänden zur Aufhebung der ambulanten Massnahme äussert.</w:t>
      </w:r>
    </w:p>
    <w:p>
      <w:r>
        <w:rPr>
          <w:b/>
        </w:rPr>
        <w:t>E. 2.1</w:t>
      </w:r>
    </w:p>
    <w:p>
      <w:r>
        <w:t>Der Beschwerdeführer rügt, die eingeholten Gutachten würden nicht übereinstimmen, einander gar widersprechen und liessen Interpretationsspielraum offen. Daher plädiere er in Nachachtung des Grundsatzes "in dubio pro reo" dafür, das Gutachten A.________ vom 16. Mai 2012 als Grundlage für die Erneuerung der ambulanten Massnahme heranzuziehen (Beschwerde S. 7-9).</w:t>
      </w:r>
    </w:p>
    <w:p>
      <w:r>
        <w:rPr>
          <w:b/>
        </w:rPr>
        <w:t>E. 2.2</w:t>
      </w:r>
    </w:p>
    <w:p>
      <w:r>
        <w:t>Soweit sich der Beschwerdeführer überhaupt hinreichend mit dem angefochtenen Entscheid auseinandersetzt (vgl. Art. 42 Abs. 2 BGG ; BGE 140 III 115 E. 2), erweisen sich seine Einwände als unbegründet. Die Vorinstanz erwägt zutreffend, es bestehe kein Anlass, grundsätzlich an der Qualität der Gutachten zu zweifeln. Diese würden sich zu allen entscheidrelevanten Fragen äussern. Die Ausführungen der Gutachter seien genügend detailliert. Damit sei massgeblich darauf abzustellen. Die Vorinstanz fasst in der Folge die ausschlaggebenden Ausführungen der Gutachter zusammen. Sie hält fest, insgesamt würden sowohl Gutachterin A.________ als auch Gutachter C.________ die Anordnung einer (ambulanten oder stationären) Massnahme in Bezug auf die Reduzierung der Rückfallgefahr als nicht bzw. wenig erfolgsversprechend erachten. Der Beschwerdeführer sei - entgegen der Vorbringen in der Beschwerdeschrift - an der Aufarbeitung seiner Deliktsgeschichte nicht interessiert. Eine für den therapeutischen Prozess notwendige Veränderungsbereitschaft sei nicht einmal ansatzweise erkennbar. Gemäss den beiden Sachverständigen lasse sich das delinquente Verhalten des Beschwerdeführers nicht mit den geltend gemachten Krankheitssymptomen schlüssig in Zusammenhang bringen. In diese Richtung äussere sich auch Gutachter B.________. Die Vorinstanz gelangt zum Schluss, gestützt auf die Resultate der Begutachtung würden sich die vom Beschwerdeführer beschriebenen Symptome und die von ihm begangenen Straftaten erwiesenermassen gegenseitig ausschliessen. Sein delinquentes Verhalten erscheine diametral widersprüchlich zu den geltend gemachten Krankheitssymptomen, so dass dessen Taten nicht auf krankheitsbedingte Umstände bzw. auf die diagnostizierten Störungen zurückzuführen seien. Daraus wiederum lasse sich der Rückschluss des Gutachters C.________ problemlos nachvollziehen, wonach die Rückfallgefahr beim Beschwerdeführer mit einer (auf seine Krankheitssymptome ausgerichteten) Therapie nicht entscheidend beeinflusst werden könne. Die Möglichkeit, mit einer Massnahme therapeutische Erfolge zu erzielen und damit der Gefahr weitere Verbrechen bzw. Vergehen zu begegnen, werde beim Beschwerdeführer als kaum wahrscheinlich eingestuft. Dies nicht zuletzt auch deshalb, weil die Behandlungs- und Auseinandersetzungsbereitschaft des Beschwerdeführers als äussert fraglich bzw. nicht einmal ansatzweise erkennbar beschrieben werde. Aus diesem Grund sei weder eine ambulante noch eine stationäre Massnahme als geeignet einzustufen, der Gefahr weiterer Straftaten begegnen zu können, auch damit nicht, wenn sich der Beschwerdeführer - zumindest in Bezug auf die ambulante Massnahme - massnahmewillig erkläre. Die Voraussetzungen für die Anordnung einer ambulanten oder stationären therapeutischen Massnahme seien insgesamt nicht erfüllt (Beschluss S. 11 ff. E. 7.1 ff.). Diesen Erwägungen ist nichts hinzuzufügen.</w:t>
      </w:r>
    </w:p>
    <w:p>
      <w:r>
        <w:rPr>
          <w:b/>
        </w:rPr>
        <w:t>E. 3</w:t>
      </w:r>
    </w:p>
    <w:p>
      <w:r>
        <w:t>Die Beschwerde ist abzuweisen, soweit darauf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