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6B_923/2023 vom 2. November 2023</w:t>
      </w:r>
    </w:p>
    <w:p>
      <w:r>
        <w:t>Bundesgericht, 2023-11-02, FR</w:t>
      </w:r>
    </w:p>
    <w:p>
      <w:r>
        <w:rPr>
          <w:b/>
        </w:rPr>
        <w:t xml:space="preserve">Quelle: </w:t>
      </w:r>
      <w:r>
        <w:t>https://mcp.opencaselaw.ch/entscheid/bger_6B_923_2023</w:t>
      </w:r>
    </w:p>
    <w:p>
      <w:r>
        <w:t>FR: TF 6B_923/2023 du 2 novembre 2023</w:t>
      </w:r>
    </w:p>
    <w:p>
      <w:r>
        <w:t>IT: TF 6B_923/2023 del 2 novembre 2023</w:t>
      </w:r>
    </w:p>
    <w:p>
      <w:pPr>
        <w:pStyle w:val="Heading2"/>
      </w:pPr>
      <w:r>
        <w:t>Erwägungen</w:t>
      </w:r>
    </w:p>
    <w:p>
      <w:r>
        <w:rPr>
          <w:b/>
        </w:rPr>
        <w:t>E. 1</w:t>
      </w:r>
    </w:p>
    <w:p>
      <w:r>
        <w:t>Par courrier du 31 octobre 2023, A.________ a déclaré retirer le recours qu'elle a interjeté au Tribunal fédéral contre l'arrêt de la Chambre pénale d'appel et de révision de la Cour de justice de la République et canton de Genève du 11 mai 2023. Il sied d'en prendre acte et de rayer la cause du rôle (cf. art. 32 al. 2 LTF ), sans frais (cf. art. 66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