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922/2013 vom 21. Oktober 2013</w:t>
      </w:r>
    </w:p>
    <w:p>
      <w:r>
        <w:t>Bundesgericht, 2013-10-21, DE</w:t>
      </w:r>
    </w:p>
    <w:p>
      <w:r>
        <w:rPr>
          <w:b/>
        </w:rPr>
        <w:t xml:space="preserve">Quelle: </w:t>
      </w:r>
      <w:r>
        <w:t>https://mcp.opencaselaw.ch/entscheid/bger_6B_922_2013</w:t>
      </w:r>
    </w:p>
    <w:p>
      <w:r>
        <w:t>FR: TF 6B 922/2013 du 21 octobre 2013</w:t>
      </w:r>
    </w:p>
    <w:p>
      <w:r>
        <w:t>IT: TF 6B 922/2013 del 21 ottobre 2013</w:t>
      </w:r>
    </w:p>
    <w:p>
      <w:pPr>
        <w:pStyle w:val="Heading2"/>
      </w:pPr>
      <w:r>
        <w:t>Regeste</w:t>
      </w:r>
    </w:p>
    <w:p>
      <w:r>
        <w:t>Widerhandlung gegen das Tierschutzgesetz (Tierquälerei) | Straftaten</w:t>
      </w:r>
    </w:p>
    <w:p>
      <w:pPr>
        <w:pStyle w:val="Heading2"/>
      </w:pPr>
      <w:r>
        <w:t>Erwägungen</w:t>
      </w:r>
    </w:p>
    <w:p>
      <w:r>
        <w:rPr>
          <w:b/>
        </w:rPr>
        <w:t>E. 1</w:t>
      </w:r>
    </w:p>
    <w:p>
      <w:r>
        <w:t>Der Beschwerdeführerin wird vorgeworfen, 19 Zwergkaninchen vernachlässigt und tierschutzwidrig gehalten zu haben. Das Bezirksgericht Frauenfeld verurteilte sie am 18. Dezember 2012 wegen Tierquälerei zu einer Geldstrafe von 30 Tagessätzen zu Fr. 80.--, bedingt erlassen bei einer Probezeit von vier Jahren, sowie zu einer Busse von Fr. 800.-- bzw. einer Ersatzfreiheitsstrafe von zehn Tagen. Das Obergericht des Kantons Thurgau erklärte eine dagegen gerichtete Berufung am 15. Juli 2013 für unbegründet, soweit darauf eingetreten werden konnte. Die Beschwerdeführerin beantragt vor Bundesgericht, der Entscheid des Obergerichts sei aufzuheben und das Verfahren einzustellen. Soweit die Beschwerdeführerin ersucht, es sei ihr wieder das Halten von Kaninchen zu erlauben (Antrag 5), ist darauf nicht einzutreten, weil das Tierhalteverbot des Veterinäramtes nicht Gegenstand des vorliegenden Verfahrens ist. In einer Beschwerde ist unter Bezugnahme auf den angefochtenen Entscheid anzugeben, inwieweit dieser nach Auffassung der Beschwerdeführerin gegen das Recht verstösst ( Art. 42 Abs. 2 BGG ). Will sie den Sachverhalt bemängeln, von dem die kantonalen Richter ausgegangen sind, so hat sie präzise darzulegen, dass er offensichtlich unrichtig im Sinne von Art. 97 Abs. 1 BGG bzw. willkürlich im Sinne von Art. 9 BV festgestellt wurde. Die vorliegende Eingabe genügt den Anforderungen nicht. Die Beschwerdeführerin schildert die Angelegenheit aus ihrer Sicht, ohne dass sich daraus die Unrichtigkeit des angefochtenen Entscheids ergeben würde. So führt sie unter Ziff. 2.4 aus, sie sei keine Tierquälerin, sondern Tierschützerin, Tierliebhaberin und eine der besten Tierhalterinnen und dies seit über 25 Jahren (Beschwerde S. 3). Woraus sich die Richtigkeit dieser Behauptung ergeben könnte, führt sie jedoch nicht aus. Ohne dass sich das Bundesgericht zu allen Ausführungen ausdrücklich äussern müsste, ist auf die Beschwerde im Verfahren nach Art. 108 BGG nicht einzutreten.</w:t>
      </w:r>
    </w:p>
    <w:p>
      <w:r>
        <w:rPr>
          <w:b/>
        </w:rPr>
        <w:t>E. 2</w:t>
      </w:r>
    </w:p>
    <w:p>
      <w:r>
        <w:t>Die Gerichtskosten sind der Beschwerdeführerin aufzuerlegen ( Art. 66 Abs. 1 BGG ). Das Gesuch um unentgeltliche Rechtspflege ist in Anwendung von Art. 64 BGG abzuweisen, weil die Rechtsbegehren aussichtslos erschienen. Der finanziellen Lage der Beschwerdeführerin (vgl. angefochtenen Entscheid S. 10-11 E. 3b)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