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920/2022 vom 17. April 2023</w:t>
      </w:r>
    </w:p>
    <w:p>
      <w:r>
        <w:t>Bundesgericht, 2023-04-17, FR</w:t>
      </w:r>
    </w:p>
    <w:p>
      <w:r>
        <w:rPr>
          <w:b/>
        </w:rPr>
        <w:t xml:space="preserve">Quelle: </w:t>
      </w:r>
      <w:r>
        <w:t>https://mcp.opencaselaw.ch/entscheid/bger_6B_920_2022</w:t>
      </w:r>
    </w:p>
    <w:p>
      <w:r>
        <w:t>FR: TF 6B 920/2022 du 17 avril 2023</w:t>
      </w:r>
    </w:p>
    <w:p>
      <w:r>
        <w:t>IT: TF 6B 920/2022 del 17 aprile 2023</w:t>
      </w:r>
    </w:p>
    <w:p>
      <w:pPr>
        <w:pStyle w:val="Heading2"/>
      </w:pPr>
      <w:r>
        <w:t>Regeste</w:t>
      </w:r>
    </w:p>
    <w:p>
      <w:r>
        <w:t>Injure ; arbitraire | Infractions</w:t>
      </w:r>
    </w:p>
    <w:p>
      <w:pPr>
        <w:pStyle w:val="Heading2"/>
      </w:pPr>
      <w:r>
        <w:t>Erwägungen</w:t>
      </w:r>
    </w:p>
    <w:p>
      <w:r>
        <w:rPr>
          <w:b/>
        </w:rPr>
        <w:t>E. 1</w:t>
      </w:r>
    </w:p>
    <w:p>
      <w:r>
        <w:t>Le recourant nie être l'auteur de l'insulte proférée à l'encontre de l'employée de B.________ SA. Il invoque l'arbitraire dans l'établissement des faits et l'appréciation des preuves et se plaint d'une violation de la présomption d'innocence et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Le Tribunal fédéral n'examine la violation des droits fondamentaux que si ce moyen est invoqué et motivé par le recourant ( art. 106 al. 2 LTF ), c'est-à-dire s'il a été expressément soulevé et exposé de manière claire et détaillée ( ATF 143 IV 500 consid. 1.1 p. 503 et les références citées). Les critiques de nature appellatoire sont irrecevables ( ATF 147 IV 73 consid. 4.1.2 p. 81; 146 IV 114 consid. 2.1 p. 118 et les références citées).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6B_330/2021 du 15 septembre 2021 consid. 2.1; 6B_1052/2020 du 19 juillet 2021 consid. 1.1; 6B_984/2020 du 4 mars 2021 consid. 1.1). La présomption d'innocence, garantie par les art. 10 CPP , 32 al. 1 Cst., 14 par. 2 Pacte ONU II et 6 par. 2 CEDH, ainsi que son corollaire, le principe "in dubio pro reo", concernent tant le fardeau de la preuve que l'appréciation des preuves au sens large ( ATF 145 IV 154 consid. 1.1 p. 156; 144 IV 345 consid. 2.2.3.1 p. 349; 127 I 38 consid. 2a p. 40).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 Les déclarations de la victime constituent un élément de preuve. Le juge doit, dans l'évaluation globale de l'ensemble des éléments probatoires rassemblés au dossier, les apprécier librement (arrêts 6B_579/2021 du 29 novembre 2021 consid. 1.1; 6B_219/2020 du 4 août 2020 consid. 2.1; 6B_332/2020 du 9 juin 2020 consid. 3.2 et les références citées), sous réserve des cas particuliers où une expertise de la crédibilité des déclarations de la victime s'impose (cf. ATF 129 IV 179 consid. 2.4 p. 184).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arrêts 6B_330/2021 du 15 septembre 2021 consid. 2.3; 6B_1271/2020 du 20 août 2021 consid. 1.1.1; 6B_1198/2020 du 19 juillet 2021 consid. 2.1).</w:t>
      </w:r>
    </w:p>
    <w:p>
      <w:r>
        <w:rPr>
          <w:b/>
        </w:rPr>
        <w:t>E. 1.2</w:t>
      </w:r>
    </w:p>
    <w:p>
      <w:r>
        <w:t>Selon l' art. 59 let. a LTV , les infractions prévues par le code pénal sont poursuivies d'office lorsqu'elles sont commises contre les employés des entreprises qui disposent d'une concession ou d'une autorisation selon les art. 6 à 8.</w:t>
      </w:r>
    </w:p>
    <w:p>
      <w:r>
        <w:rPr>
          <w:b/>
        </w:rPr>
        <w:t>E. 1.3</w:t>
      </w:r>
    </w:p>
    <w:p>
      <w:r>
        <w:t>Pour forger sa conviction et retenir que le recourant était l'auteur de l'injure en cause, la cour cantonale a constaté que celle-ci était liée à la présentation de la carte d'étudiant du recourant, de sorte que, contrairement à ce que celui-ci prétendait, une confusion avec un autre passager était exclu. Il importait ainsi peu que l'intéressée ne soit pas parvenue à identifier formellement le recourant lors des débats d'appel. Son collègue D.________, entendu en qualité de témoin au cours de l'instruction, s'était en outre souvenu que C.________ avait été affectée par l'injure qu'elle venait de recevoir et avait lié cette dernière à la problématique de la carte d'étudiant. Ainsi, le fait qu'il n'avait pas assisté directement à la scène et qu'il ne s'était pas souvenu de ce qui avait été dit précisément n'était pas déterminant. Au contraire, dans la mesure où il n'avait pas cherché à accabler le recourant, ses déclarations étaient d'autant plus crédibles. Quant aux dénégations du recourant, la cour cantonale a considéré qu'elles étaient dénuées de crédibilité. Quand bien même il ne s'était pas contredit, il n'en demeurait pas moins que les deux contrôleurs, qui ne le connaissaient pas, n'avaient aucune raison de le dénoncer faussement. De plus, les déclarations du recourant, lorsqu'elles n'apparaissaient pas invraisemblables ou sans pertinence, ajoutaient encore du crédit aux déclarations des contrôleurs.</w:t>
      </w:r>
    </w:p>
    <w:p>
      <w:r>
        <w:rPr>
          <w:b/>
        </w:rPr>
        <w:t>E. 1.4</w:t>
      </w:r>
    </w:p>
    <w:p>
      <w:r>
        <w:t>Le recourant reproche à la cour cantonale d'avoir versé dans l'arbitraire en se fondant essentiellement sur la position de l'intéressée, laquelle serait insuffisante pour fonder sa culpabilité, et en écartant ses dénégations constantes. En l'espèce, le recourant fonde essentiellement son argumentation sur le fait que l'intéressée ne l'a pas formellement identifié lors des débats d'appel. Or la cour cantonale a tenu compte de cet élément mais a considéré qu'il n'était pas déterminant dans la mesure où l'injure était liée à la carte d'étudiant du recourant. Contrairement à ce que soutient celui-ci, son appréciation à cet égard est exempte d'arbitraire. En effet, le recourant a lui-même admis avoir présenté sa carte d'étudiant à l'intéressée et celle-ci a explicitement indiqué dans son rapport de dénonciation que l'individu qui lui avait présenté sa carte d'étudiant "a[vait] profité de l'arrêt de train à V.________ pour ouvrir la porte d'accès, [lui] subtiliser la carte d'étudiant des mains et sortir en [la] traitant de salope". Elle a en outre confirmé le contenu du rapport de dénonciation lors des débats d'appel. De plus, contrairement à ce que prétend le recourant, le collègue de C.________ a clairement relié l'insulte proférée à la problématique de la carte de légitimation du recourant puisqu'il a indiqué "Je me rappelle qu'il y a eu deux cas qui sont restés en mémoire. Le cas d'une dame qui avait été malhonnête avec ma collègue et un deuxième cas avec un monsieur par rapport à sa carte d'identité. Pour ce dernier cas, je me rappelle qu'il y a eu une insulte car ma collègue n'était pas bien après cela" (cf. procès-verbal d'audition du 8 septembre 2021). Dans ces circonstances, la cour cantonale pouvait considérer que les dénégations du recourant - bien que constantes - se trouvaient affaiblies par rapport aux versions des contrôleurs, d'autant qu'elle a constaté que le recourant avait reconnu que la tension régnait lors du contrôle et que le ton était monté, ce qui ajoutait du crédit aux déclarations de ces derniers, appréciation qu'il ne discute pas. Au demeurant, sauf à affirmer péremptoirement - par une argumentation dénuée de toute pertinence - que s'il avait voulu commettre une infraction, il n'aurait eu aucune raison de s'identifier, le recourant n'expose pas en quoi la cour cantonale aurait arbitrairement considéré que son discours était dénué de crédibilité. A cet égard, le fait que les contrôleurs n'avaient aucune raison de le dénoncer faussement constituait un indice supplémentaire permettant de jeter le discrédit sur ses déclarations, dont la prise en compte est exempte d'arbitraire.</w:t>
      </w:r>
    </w:p>
    <w:p>
      <w:r>
        <w:rPr>
          <w:b/>
        </w:rPr>
        <w:t>E. 1.5</w:t>
      </w:r>
    </w:p>
    <w:p>
      <w:r>
        <w:t>Vu ce qui précède, la cour cantonale n'a pas violé l'interdiction de l'arbitraire ni le principe de la présomption d'innocence en retenant que le recourant était l'auteur de l'injure proférée à l'encontre de C.________, le 30 décembre 2020. En outre, contrairement à ce que semble suggérer le recourant, la cour cantonale n'a pas renversé le fardeau de la preuve. Elle est clairement parvenue à une conviction en se fondant sur les déclarations des protagonistes et les éléments objectifs du dossier et n'a à cet égard pas non plus violé la présomption d'innocence.</w:t>
      </w:r>
    </w:p>
    <w:p>
      <w:r>
        <w:rPr>
          <w:b/>
        </w:rPr>
        <w:t>E. 2</w:t>
      </w:r>
    </w:p>
    <w:p>
      <w:r>
        <w:t>Pour le surplus, le recourant ne discute pas la qualification juridique de l'infraction d'injure, pas davantage que la peine, sur lesquelles il n'y a donc pas lieu de revenir.</w:t>
      </w:r>
    </w:p>
    <w:p>
      <w:r>
        <w:rPr>
          <w:b/>
        </w:rPr>
        <w:t>E. 3</w:t>
      </w:r>
    </w:p>
    <w:p>
      <w:r>
        <w:t>Le recourant conclut à l'octroi d'une indemnité fondée sur l' art. 429 CPP en lien avec l'acquittement qu'il réclame. Comme il n'obtient pas celui-ci, sa conclusion est sans objet.</w:t>
      </w:r>
    </w:p>
    <w:p>
      <w:r>
        <w:rPr>
          <w:b/>
        </w:rPr>
        <w:t>E. 4</w:t>
      </w:r>
    </w:p>
    <w:p>
      <w:r>
        <w:t>Il s'ensuit que 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