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6B_917/2013 vom 6. November 2013</w:t>
      </w:r>
    </w:p>
    <w:p>
      <w:r>
        <w:t>Bundesgericht, 2013-11-06, FR</w:t>
      </w:r>
    </w:p>
    <w:p>
      <w:r>
        <w:rPr>
          <w:b/>
        </w:rPr>
        <w:t xml:space="preserve">Quelle: </w:t>
      </w:r>
      <w:r>
        <w:t>https://mcp.opencaselaw.ch/entscheid/bger_6B_917_2013</w:t>
      </w:r>
    </w:p>
    <w:p>
      <w:r>
        <w:t>FR: TF 6B_917/2013 du 6 novembre 2013</w:t>
      </w:r>
    </w:p>
    <w:p>
      <w:r>
        <w:t>IT: TF 6B_917/2013 del 6 novembre 2013</w:t>
      </w:r>
    </w:p>
    <w:p>
      <w:pPr>
        <w:pStyle w:val="Heading2"/>
      </w:pPr>
      <w:r>
        <w:t>Erwägungen</w:t>
      </w:r>
    </w:p>
    <w:p>
      <w:r>
        <w:rPr>
          <w:b/>
        </w:rPr>
        <w:t>E. 1</w:t>
      </w:r>
    </w:p>
    <w:p>
      <w:r>
        <w:t>Aux termes de l' art. 79 LTF , le recours est irrecevable contre les décisions de la Cour des plaintes du TPF, sauf si elles portent sur des mesures de contrainte. La jurisprudence ne fait d'exception à cette règle que si et dans la mesure où la décision attaquée prononce une confiscation (cf. ATF 133 IV 278 consid. 1.2 p. 282).</w:t>
      </w:r>
    </w:p>
    <w:p>
      <w:r>
        <w:t>La décision attaquée rendue par la Cour des plaintes du TPF s'inscrit dans le cadre d'une procédure d'indemnisation. L'indemnisation n'est pas assimilable à une mesure de contrainte (cf. arrêt 6B_119/2013 du 11 avril 2013 consid. 1). Que la procédure d'indemnisation repose en l'occurrence sur une mesure de contrainte illicite n'y change rien, l'enjeu de la procédure s'en tenant à l'indemnisation, sa quotité en l'occurrence. Le recourant ne saurait non plus trouver argument du passage de l' ATF 139 IV 94 consid. 2.4 p. 97 précité, où le Tribunal fédéral signale qu'il ne lui incombe pas de statuer en première instance sur l'indemnisation. On ne saurait en déduire un affranchissement des exigences de l' art. 79 LTF pour la voie du recours en matière pénale. Rien n'impose en l'espèce de déroger à la règle de l' art. 79 LTF , qui vise précisément à décharger le Tribunal fédéral. Le législateur a clairement voulu limiter les possibilités de recours à l'autorité suprême de la Confédération (cf. arrêt 6B_119/2013 du 11 avril 2013 consid. 1). Il s'ensuit que le recours est irrecevable, faute d'être dirigé contre une mesure de contrainte.</w:t>
      </w:r>
    </w:p>
    <w:p>
      <w:r>
        <w:t>A noter au demeurant que si l'indemnisation de 300 fr. octroyée est modeste, le recourant n'apporte aucun argument déterminant pour la contrer. Par l' ATF 139 IV 94 précité, il a déjà obtenu le constat du caractère illicite de la mesure de contrainte et l'allocation de pleins dépens, conformément à ce que prévoit la jurisprudence ( ATF 139 IV 179 consid. 2.7 p. 186; 137 IV 118 consid. 2.2 p. 121 s.). L'obtention, en sus, d'une indemnisation implique la démonstration par le recourant de son dommage ou du tort moral subi, conformément aux art. 41 ss CO (cf. WEHRENBERG/BERNHARD, in Basler Kommentar, Schweizerische Strafprozessordnung, 2011, n° 9 ad art. 431 CPP ). Contrairement à ce que suppose le recourant, l'absence de titre de détention valable ne saurait nécessairement impliquer une indemnisation de 200 fr. par jour, laquelle, outre qu'elle dépend des circonstances concrètes, concerne la situation différente du prévenu libéré ou qui a subi une période de détention provisoire plus longue que la peine infligée (cf. arrêt 6B_53/2013 du 8 juillet 2013 consid. 3 non publié in ATF 139 IV 243 ). Il incombait en l'espèce au recourant d'établir quel tort moral découlait directement de l'absence de titre de détention pour la période du 29 septembre au 30 octobre 2012. C'est de manière non pertinente qu'il invoque le contexte de sa détention de quelque deux ans et demi ou l'absence de motivation du jugement de condamnation dans le délai de l' art. 84 al. 4 CPP . C'est aussi en vain qu'il laisse entendre que le montant alloué n'aurait rien de dissuasif pour l'autorité. L'indemnisation n'a pas pour rôle de sanctionner l'autorité. Le constat du caractère illicite dans l'arrêt publié in ATF 139 IV 94 suffit d'ailleurs à considérer que l'autorité veillera dorénavant à éviter la répétition de situations similaires. En définitive, le recourant n'apporte aucun élément pour justifier le tort moral qu'il invoque, lequel doit uniquement et immédiatement résulter de l'absence de titre de détention pour une période de trente et un jours.</w:t>
      </w:r>
    </w:p>
    <w:p>
      <w:r>
        <w:rPr>
          <w:b/>
        </w:rPr>
        <w:t>E. 2</w:t>
      </w:r>
    </w:p>
    <w:p>
      <w:r>
        <w:t>Le recours est irrecevable. Comme les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