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6B_916/2023 vom 1. Oktober 2024</w:t>
      </w:r>
    </w:p>
    <w:p>
      <w:r>
        <w:t>Bundesgericht, 2024-10-01, DE</w:t>
      </w:r>
    </w:p>
    <w:p>
      <w:r>
        <w:rPr>
          <w:b/>
        </w:rPr>
        <w:t xml:space="preserve">Quelle: </w:t>
      </w:r>
      <w:r>
        <w:t>https://mcp.opencaselaw.ch/entscheid/bger_6B_916_2023</w:t>
      </w:r>
    </w:p>
    <w:p>
      <w:r>
        <w:t>FR: TF 6B_916/2023 du 1 octobre 2024</w:t>
      </w:r>
    </w:p>
    <w:p>
      <w:r>
        <w:t>IT: TF 6B_916/2023 del 1 ottobre 2024</w:t>
      </w:r>
    </w:p>
    <w:p>
      <w:pPr>
        <w:pStyle w:val="Heading2"/>
      </w:pPr>
      <w:r>
        <w:t>Erwägungen</w:t>
      </w:r>
    </w:p>
    <w:p>
      <w:r>
        <w:rPr>
          <w:b/>
        </w:rPr>
        <w:t>E. 1</w:t>
      </w:r>
    </w:p>
    <w:p>
      <w:r>
        <w:t>Der Beschwerdeführer moniert eine offensichtlich unrichtige und damit willkürliche Feststellung des Sachverhalts. Die Beweiswürdigung stehe im klaren Widerspruch zu den Akten. Einzelne Beweismittel seien einseitig oder gar nicht berücksichtigt worden. Zudem habe die Vorinstanz den Grundsatz "in dubio pro reo" verletzt.</w:t>
      </w:r>
    </w:p>
    <w:p>
      <w:r>
        <w:rPr>
          <w:b/>
        </w:rPr>
        <w:t>E. 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6B_546/2023 vom 13. November 2023 E. 1.3.2; 6B_1149/2020 vom 17. April 2023 E. 2.3.2.2; 6B_926/2020 vom 20. Dezember 2022 E. 1.4.4; je mit Hinweisen).</w:t>
      </w:r>
    </w:p>
    <w:p>
      <w:r>
        <w:rPr>
          <w:b/>
        </w:rPr>
        <w:t>E. 2.3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6B_934/2023 vom 4. März 2024 E. 1.2.2; 6B_74/2023 vom 29. November 2023 E. 1.3.2; 6B_645/2023 vom 27. September 2023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6B_1310/2023 vom 19. August 2024 E. 2.2.2; 6B_1255/2021 vom 4. Dezember 2023 E. 1.2.3; 6B_57/2023 vom 15. Mai 2023 E. 1.2.2; 6B_596/2021 vom 30. Januar 2023 E. 3.3.2; je mit Hinweisen).</w:t>
      </w:r>
    </w:p>
    <w:p>
      <w:r>
        <w:rPr>
          <w:b/>
        </w:rPr>
        <w:t>E. 2.4</w:t>
      </w:r>
    </w:p>
    <w:p>
      <w:r>
        <w:t>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6B_1310/2023 vom 19. August 2024 E. 2.2.2; 6B_157/2024 vom 3. Juni 2024 E. 3.2; 6B_74/2023 vom 29. November 2023 E. 1.3.2; je mit Hinweisen).</w:t>
      </w:r>
    </w:p>
    <w:p>
      <w:r>
        <w:rPr>
          <w:b/>
        </w:rPr>
        <w:t>E. 3.1</w:t>
      </w:r>
    </w:p>
    <w:p>
      <w:r>
        <w:t>Unter dem Titel "Gesamtheitliche Beweiswürdigung" erwägt die Vorinstanz, dass entgegen den Vorbringen des Beschwerdeführers keine klassische Aussage-gegen-Aussage Situation vorliege. Nebst seinen Aussagen und jenen der Beschwerdegegnerin 2 lägen die Angaben von deren Mitbewohnerin C.________ und ihrem Freund D.________, zudem der IRM-Bericht und der Webverlauf bzw. die vom Beschwerdeführer auf seinem Mobiltelefon getätigten Suchabfragen und damit objektive Beweismittel vor.</w:t>
      </w:r>
    </w:p>
    <w:p>
      <w:r>
        <w:t>Mit Blick auf die Aussagen der Beschwerdegegnerin 2 liege es in der Natur der Sache, dass sie keine Angaben zum eigentlichen Kerngeschehen machen könne. Sie habe gemäss ihrer Aussage geschlafen und von den angeklagten sexuellen Handlungen des Beschuldigten nichts mitbekommen. Ihre Aussagen das Rahmengeschehen betreffend sei mit der Erstinstanz davon auszugehen, dass die Angaben etliche Realkennzeichen aufweisen würden und konstant, widerspruchsfrei, in sich logisch und deshalb bereits für sich alleine glaubhaft seien. Anzeichen für Lügen, Übertreibungen oder Aggravierungen bestünden keine. Ein Motiv für eine Falschbelastung sei nicht ersichtlich. Ergänzend erwägt die Vorinstanz, die Angaben der Beschwerdegegnerin 2 wirkten erlebnisbasiert. In der zweitinstanzlichen Einvernahme habe sie das Rahmengeschehen gleichbleibend und weitestgehend mit denselben Details wie bei den früheren Befragungen geschildert. Erinnerungslücken habe sie unumwunden eingestanden. Besonders eindrücklich erscheine die selbstkritische Reflexion ihres Verhaltens beim Tatgeschehen. Zudem deckten sich die Aussagen in sämtlichen wesentlichen Punkten mit denjenigen von C.________ und D.________. Damit einhergehend bestätigt die Vorinstanz die erstinstanzliche Einschätzung, wonach die Aussagen von C.________ und D.________ den Alkoholkonsum, den Zustand der Beschwerdegegnerin 2 sowie deren Verhalten gegenüber dem Beschwerdeführer betreffend, übereinstimmten und nachvollziehbar erschienen und keine Gründe oder Hinweise für falsche Angaben ersichtlich seien.</w:t>
      </w:r>
    </w:p>
    <w:p>
      <w:r>
        <w:t>In den Aussagen des Beschwerdeführers seien indes mehrere Lügensignale und eine deutliche Tendenz zur Verharmlosung des Zustandes der Beschwerdegegnerin 2 und seines eigenen Verhaltens erkennbar. Der Grund für die Widersprüche und die Abweichungen von den Erstaussagen liege auf der Hand. Dem Beschwerdeführer sei nicht entgangen, dass seine Version eines einvernehmlichen "One-Night- Stands" nicht stimmig erscheine, nachdem er mit der stark alkoholisierten und sich in einem sehr schlechten Zustand befindlichen Beschwerdegegnerin 2 kein einziges Gespräch geführt habe. Weitere Umstimmigkeiten fänden sich in seinen Aussagen zum Kerngeschehen, namentlich zu den angeblichen Annäherungen der Beschwerdegegnerin 2 unmittelbar vor und deren Verhalten während des Geschlechtsverkehrs. Auch die Erklärungen des Beschwerdeführers für die Gründe des Abbruchs des Geschlechtsverkehrs überzeugten nicht, wohingegen sich dieser Abbruch mit dem plötzlichen Erwachen der Beschwerdegegnerin 2 in Einklang bringen lasse. Schliesslich habe der Beschwerdeführer auch keine Hemmungen gezeigt, falsche Angaben zu machen. So habe er namentlich und unmittelbar nach dem Vorfall zweimal ausdrücklich nach den Suchbegriffen "fuck+sleeping+girl" gesucht und nicht, wie behauptet, bloss angezeigte Vorschläge angeklickt.</w:t>
      </w:r>
    </w:p>
    <w:p>
      <w:r>
        <w:rPr>
          <w:b/>
        </w:rPr>
        <w:t>E. 3.2</w:t>
      </w:r>
    </w:p>
    <w:p>
      <w:r>
        <w:t>Zusammenfassend erachtet es die Vorinstanz damit als erstellt, dass sich die Beschwerdegegnerin 2 am Samstagabend des 25. Juli 2020 um ca. 23.00 Uhr mit ihrer Mitbewohnerin C.________ und deren Freund D.________ mit dem Tram nach Bern begab, nachdem sie bereits zuvor Wein, Havanna und Shots mit Wodka konsumiert gehabt hätten. In Bern hätten sie weitere alkoholische Getränke konsumiert und sich zwischen 02.00 und 03.00 Uhr auf den Heimweg begeben. Nachdem sie sich zu Fuss auf den Weg hätten machen wollen, habe der Beschwerdeführer die "ziemlich betrunkene" Beschwerdegegnerin 2 und deren Kollegen angesprochen und sich bereit erklärt, sie nach U.________ zu fahren. Die Fahrt habe einmal unterbrochen werden müssen, weil die Beschwerdegegnerin 2, die sich nur wenig am Gespräch beteiligt habe, meinte, sich übergeben zu müssen. Am Zielort hätten die drei Kollegen den Beschwerdeführer in die Wohnung der Beschwerdegegnerin 2 und deren Mitbewohnerin C.________ eingeladen, um noch etwas zu trinken. Auf dem Weg dorthin bzw. in den 3. Stock habe C.________ die für alle sichtlich betrunkene Beschwerdegegnerin 2 stützen müssen, wobei nicht auszuschliessen sei, dass es dabei zu Berührungen zwischen den Parteien gekommen sei. Hierbei habe es sich indes nicht um Annäherungsversuche der Beschwerdegegnerin 2 gegenüber dem Beschwerdeführer gehandelt.</w:t>
      </w:r>
    </w:p>
    <w:p>
      <w:r>
        <w:t>Die Beschwerdegegnerin 2 habe sich noch schlechter gefühlt als zuvor und sich sogleich zu Bett begeben. Ihre beiden Kollegen und der Beschwerdeführer hätten ihr Wasser und einen Eimer gebracht. Kurz danach habe sie sich übergeben. Auf dem Weg vom Bad zurück ins Schlafzimmer habe sie gestützt werden müssen. Der Beschwerdeführer habe ihr kalte Tücher übergeben, während C.________ sie, eventuell unter Mitwirkung des Beschwerdeführers, abgeschminkt und bis auf den Slip und das T-Shirt entkleidet habe. Schliesslich sei die Beschwerdegegnerin 2 in ihrem Bett eingeschlafen, währenddessen die anderen drei Personen sich im Wohnzimmer aufgehalten hätten. Als sich C.________ und D.________ um ca. 03.00 Uhr ebenfalls zu Bett begeben hätten, hätten sie dem Beschwerdeführer angeboten, sich einige Stunden auf dem Sofa im Wohnzimmer auszuruhen. Die Türe des Zimmers der Beschwerdegegnerin 2 sei einen Spalt breit offen gestanden. Zwischen 04:00 und 04:30 Uhr habe sich der Beschwerdeführer unbemerkt in das Zimmer begeben, wo die Beschwerdegegnerin 2 - u.a. wegen des übermässigen Alkoholkonsums - in Bauchlage tief geschlafen habe. Der Beschwerdeführer habe ihren Slip zur Seite geschoben und sei mit seinem Penis vaginal von hinten und ungeschützt in sie eingedrungen. Nach einer Weile sei die Beschwerdegegnerin 2 erwacht, habe den vaginal eingeführten Penis wahrgenommen und sich auf den Rücken gedreht, woraufhin der Beschwerdeführer sich erhoben habe und weggelaufen sei. Die aus dem Tiefschlaf gerissene, nach wie vor alkoholisierte Beschwerdegegnerin 2 habe sich auf die Toilette begeben und den Beschwerdeführer auf dem Weg dorthin gefragt, "ob er gekommen sei", was dieser verneint und woraufhin sich die Beschwerdegegnerin 2 wieder zum Schlafen ins Bett gelegt habe. Der Beschwerdeführer habe sich zurück auf das Sofa begeben und gegen 07:30 Uhr die Wohnung verlassen.</w:t>
      </w:r>
    </w:p>
    <w:p>
      <w:r>
        <w:rPr>
          <w:b/>
        </w:rPr>
        <w:t>E. 4</w:t>
      </w:r>
    </w:p>
    <w:p>
      <w:r>
        <w:t>Der Beschwerdeführer stellt nicht in Abrede, dass es mit der Beschwerdegegnerin 2 zum Geschlechtsverkehr gekommen ist. Indes erachtet er den vorinstanzlichen Schluss, gemäss welchem die Beschwerdegegnerin 2 wegen ihres übermässigen Alkoholkonsums tief geschlafen habe, zum Widerstand unfähig gewesen sei und nicht in den Geschlechtsverkehr eingewilligt habe, als willkürlich. Die Rüge erweist sich als unbegründet, soweit darauf überhaupt eingetreten werden kann.</w:t>
      </w:r>
    </w:p>
    <w:p>
      <w:r>
        <w:rPr>
          <w:b/>
        </w:rPr>
        <w:t>E. 4.1</w:t>
      </w:r>
    </w:p>
    <w:p>
      <w:r>
        <w:t>Die Vorinstanz erwägt, dass sich letztlich aus den Aussagen aller Beteiligten (bzw. den Erstaussagen des Beschwerdeführers) ergebe, dass sich die Beschwerdegegnerin 2 alkoholbedingt in einem schlechten Zustand befunden habe. Ihr sei übel gewesen, sie habe "gelallt" und sei getorkelt. Ihr Schluss, dass dies auch dem Beschwerdeführer nicht entgangen sein könne, habe er deswegen doch die Fahrt unterbrechen müssen, ist schlüssig und nachvollziehbar (angefochtenes Urteil S. 23) und insoweit unbestritten geblieben ( Art. 105 Abs. 1 BGG ). Dasselbe gilt für die vorinstanzliche Feststellung, gemäss welcher dem Beschwerdeführer ebenso wenig entgangen sei, dass es der Beschwerdegegnerin 2 nach der Ankunft zu Hause nicht besser gegangen sei, im Gegenteil. Dort habe sie sich übergeben und auf dem Weg ins Bett gestützt werden müssen; beim Abschminken und Ausziehen sei sie auf Hilfe angewiesen gewesen.</w:t>
      </w:r>
    </w:p>
    <w:p>
      <w:r>
        <w:t>Die Vorinstanz erwägt weiter, dass es gegen 03.00 Uhr gewesen sei, als sich die Beschwerdegegnerin 2 zu Bett begeben hatte. Zum vom Beschwerdeführer mit bzw. an ihr vollzogenen Geschlechtsverkehr sei es alsdann zwischen 04.00 und 04.30 Uhr gekommen. Insofern der Beschwerdeführer den von der Vorinstanz eruierten Tatzeitraum als willkürlich moniert, setzt er sich nicht rechtsgenüglich mit deren Erwägungen auseinander. Diese würdigt einerseits seine Erstaussagen und berücksichtigt, dass er seinerseits den Zeitpunkt des Geschlechtsverkehrs zwischen 04:00 und 04:30 Uhr verortet hatte. Ergänzend setzt sie sich mit der offenbar bereits vor zweiter Instanz thematisierten Aussage der Beschwerdegegnerin 2 auseinander, wonach es hell gewesen sei, als sie erwacht sei. Dabei gelangt sie nachvollziehbar zum Schluss, dass sich diese Aussage nicht auf das Erwachen während des Geschlechtsverkehrs, sondern auf das "zweite Erwachen" am nächsten Morgen beziehe. Schliesslich würdigt die Vorinstanz die letzte der in dieser Nacht vom Beschwerdeführer um 03:24 Uhr getätigte Suchabfrage und bezieht den Umstand mit ein, dass er um 08:00 Uhr zu einer Verabredung losgefahren sei (vgl. angefochtenes Urteil S. 24 f.).</w:t>
      </w:r>
    </w:p>
    <w:p>
      <w:r>
        <w:t>Damit legt die Vorinstanz schlüssig dar, weshalb sei den Tatzeitraum zwischen 04:00 Uhr und 04:30 Uhr verortet. Damit einhergehend trifft nachweislich nicht zu, dass sie ihre Annahme einzig auf die Aussagen des Beschwerdeführers stützt bzw. sie diese durch keine weiteren Beweise und Indizien untermauert (vgl. Beschwerde S. 9 f.). Weder der pauschale Hinweis darauf, dass die Vorinstanz seine Aussagen andernorts als unglaubhaft qualifiziere noch darauf, dass es am 26. Juli um 06:00 Uhr noch dunkel sein könne, stellt eine rechtsgenügende Auseinandersetzung mit den vorinstanzlichen Erwägungen dar. Darauf ist nicht weiter einzugehen ( Art. 42 Abs. 2 BGG und Art. 106 Abs. 2 BGG ). Nichts anderes gilt, wenn der Beschwerdeführer dem fraglichen Tatzeitraum entgegen der Vorinstanz und ohne weitere Begründung eine entscheidende Bedeutung beimessen will.</w:t>
      </w:r>
    </w:p>
    <w:p>
      <w:r>
        <w:rPr>
          <w:b/>
        </w:rPr>
        <w:t>E. 4.2</w:t>
      </w:r>
    </w:p>
    <w:p>
      <w:r>
        <w:t>Für den fraglichen Tatzeitraum geht die Vorinstanz weder von einer hochgradigen Alkoholintoxikation noch einem pathologischen Rausch aus. Stattdessen stellt sie schwergewichtig auf die Aussagen von C.________, D.________ und wiederum auch die Erstaussagen des Beschwerdeführers ab, mit welchen diese den alkoholbedingt sehr schlechten Zustand der Beschwerdegegnerin 2 beschrieben haben. Dass die Vorinstanz die entsprechenden Aussagen von C.________ und D.________ zu Unrecht als übereinstimmend und glaubhaft qualifiziert, macht der Beschwerdeführer nicht geltend. Ebenso wenig stellt er deren Feststellung in Frage, wonach die Beschwerdegegnerin 2 einen Schlafmangel aufwies. Folglich ist anhand der für das Bundesgericht verbindlichen Sachverhaltsfeststellungen davon auszugehen, dass der von der Beschwerdegegnerin 2 in der fraglichen Nacht insgesamt konsumierte Alkohol und deren Müdigkeit gegen 03.00 Uhr dazu führten, dass sie sich übergeben musste, "lallte", torkelte und beim Gehen bzw. Verrichtungen wie dem Auskleiden auf Hilfe angewiesen war, mithin die (typischen) Auswirkungen eines übermässigen Alkoholkonsums in einem überaus deutlichen und ausgeprägten Ausmass vorlagen ( Art. 105 Abs. 1 BGG ; vgl. oben E. 4.1). Damit ist nicht zu beanstanden, wenn die Vorinstanz dem Umstand, dass die um 15.00 Uhr bei der Beschwerdegegnerin 2 entnommenen Blutprobe keinen Alkohol mehr aufwies, keine eigenständige Bedeutung beimisst. Dasselbe gilt, wenn sie davon ausgeht, dass der Schlafmangel der alkoholisierten Beschwerdegegnerin 2 einen zusätzlichen Einfluss auf ihren tatsächlichen Zustand zeitigte.</w:t>
      </w:r>
    </w:p>
    <w:p>
      <w:r>
        <w:t>Unbehelflich ist folglich das Vorbringen des Beschwerdeführers, dass die Blutalkoholkonzentration bei der Beschwerdegegnerin 2 zwischen 0.7 bis 1.4 Promille oder darunter gelegen haben könnte, respektive die Vorinstanz in Willkür verfalle, wenn sie anhand einer Rückrechnung von einer Konzentration von gegen 1.2 Promille ausgehe. Aus den vorinstanzlichen Erwägungen - konkret: "Davon ausgehend, dass bei einer Frau durchschnittlich ca. 0.1 Promille Alkohol pro Stunde abgebaut wird, konnte die Blutalkoholkonzentration in der Nacht um 03:00 Uhr bis zu 1.2 Promille betragen" (angefochtenes Urteil S. 23) - ergibt sich, dass es sich bei der vorgenommenen Rückrechnung um eine bloss hypothetische handelt, welcher die Vorinstanz anhand der von ihr willkürfrei gewürdigten Beschreibungen des Zustandes der Beschwerdegegnerin 2 zu Recht keine entscheidende Bedeutung beimisst. Nichts anderes gilt, wenn der Beschwerdeführer moniert, ein Einfluss von Schmerzmitteln auf den Zustand der Beschwerdegegnerin 2 sei nicht erwiesen. Zwar erwähnt die Vorinstanz, dass die Beschwerdegegnerin 2 vorgängig auch Schmerzmittel konsumiert habe (angefochtenes Urteil S. 23 f.) Indes lässt sich ihren Subsumtionen (vgl. angefochtenes Urteil S. 25 und 29) nicht entnehmen, dass sie einer solchen Medikamenteneinnahme im Hinblick auf den tatsächlichen Zustand der Beschwerdegegnerin 2 eine (entscheidende) Bedeutung beigemessen hätte. Auch darauf ist folglich nicht weiter einzugehen. Hinzuweisen bleibt indes auf die vom Beschwerdeführer unbestritten gebliebene vorinstanzliche Feststellung, gemäss der sich die Beschwerdegegnerin 2 im Tatzeitraum (auch) wegen der üblichen Schlafzyklen in einer Tiefschlafphase befunden habe ( Art. 105 Abs. 1 BGG ).</w:t>
      </w:r>
    </w:p>
    <w:p>
      <w:r>
        <w:rPr>
          <w:b/>
        </w:rPr>
        <w:t>E. 4.3</w:t>
      </w:r>
    </w:p>
    <w:p>
      <w:r>
        <w:t>Zusammenfassend vermag der Beschwerdeführer weder darzutun noch ist ersichtlich, inwiefern die vorinstanzlichen Schlüsse schlechterdings unhaltbar sein sollen. Mithin ist unter Willkürgesichtspunkten nicht zu beanstanden, wenn es die Vorinstanz als erstellt erachtet, dass die Beschwerdegegnerin 2 aufgrund ihres erheblichen Alkoholkonsums, der "durchzechten" Nacht, ihres Schlafmangels und letztlich auch schlafzyklisch bedingt derart tief schlief, dass sie ausserstande war, sich gegen den sexuellen Übergriff des Beschwerdeführers zu wehren und sie erst aufgrund der vaginalen Penetration respektive des vaginalen Geschlechtsverkehrs erwachte, den der Beschwerdeführer an ihr zu vollziehen im Begriff war (angefochtenes Urteil S. 25 und 29). Dies umso weniger, als sich der Beschwerdeführer nicht ansatzweise mit den ergänzenden vorinstanzlichen Erwägungen auseinandersetzt, wonach seine Erklärungen für die Gründe des Abbruchs des Geschlechtsverkehrs nicht überzeugten, wohingegen sich der Abbruch mit dem plötzlichen Erwachen der Beschwerdegegnerin 2 in Einklang bringen lasse. Dasselbe gilt für die unbestritten gebliebene vorinstanzliche Feststellung, dass er unmittelbar nach dem Vorfall nach den Begriffen "fuck+sleeping+girl" gesucht hatte.</w:t>
      </w:r>
    </w:p>
    <w:p>
      <w:r>
        <w:t>Nicht weiter einzugehen ist damit auf die Vorbringen des Beschwerdeführers, mit denen er die vorinstanzliche Würdigung seiner Aussagen als willkürlich erachtet und diese dahingehend gewürdigt wissen will, als dass ihm die zwar alkoholisierte, aber wache Beschwerdegegnerin 2 in ihrem Zimmer zu verstehen gegeben habe, mit dem Geschlechtsverkehr einverstanden zu sein. Dasselbe gilt, wenn er es im Sinne einer "Sachverhaltsvariante" als möglich erachtet, dass sich die Beschwerdegegnerin 2 wegen ihrer Alkoholisierung nicht mehr an ihre vorgängig gegebene Einwilligung zum Geschlechtsverkehr erinnere und ihre Erinnerung erst wieder einsetzte, als sie sich "mitten im Geschlechtsverkehr befunden" habe. Damit übersieht der Beschwerdeführer, dass Willkür selbst dann nicht vorläge, wenn eine andere Lösung ebenfalls als möglich erschiene (vgl. oben E. 2.1).</w:t>
      </w:r>
    </w:p>
    <w:p>
      <w:r>
        <w:t>Die Rügen einer willkürlichen Sachverhaltsfeststellung und Verletzung des Grundsatzes "in dubio pro reo" erweisen sich als unbegründet.</w:t>
      </w:r>
    </w:p>
    <w:p>
      <w:r>
        <w:rPr>
          <w:b/>
        </w:rPr>
        <w:t>E. 5</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