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6B_914/2013 vom 27. Februar 2014</w:t>
      </w:r>
    </w:p>
    <w:p>
      <w:r>
        <w:t>Bundesgericht, 2014-02-27, FR</w:t>
      </w:r>
    </w:p>
    <w:p>
      <w:r>
        <w:rPr>
          <w:b/>
        </w:rPr>
        <w:t xml:space="preserve">Quelle: </w:t>
      </w:r>
      <w:r>
        <w:t>https://mcp.opencaselaw.ch/entscheid/bger_6B_914_2013</w:t>
      </w:r>
    </w:p>
    <w:p>
      <w:r>
        <w:t>FR: TF 6B_914/2013 du 27 février 2014</w:t>
      </w:r>
    </w:p>
    <w:p>
      <w:r>
        <w:t>IT: TF 6B_914/2013 del 27 febbraio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137 IV 219 consid. 2.4 p. 222 s.).</w:t>
      </w:r>
    </w:p>
    <w:p>
      <w:r>
        <w:rPr>
          <w:b/>
        </w:rPr>
        <w:t>E. 1.2</w:t>
      </w:r>
    </w:p>
    <w:p>
      <w:r>
        <w:t>La recourante affirme qu'elle a des prétentions civiles à faire valoir contre les intimés en raison des actes de gestion déloyale et de concurrence déloyale qu'elle leur reproche, le dommage s'élevant selon elle à la valeur du portefeuille des clients démarchés, soit 401'918 fr. 45. La recourante ne fournit pas d'explication détaillée sur le principe de son dommage. Elle ne fait pas de distinction sur le fondement de ses prétentions en considération des infractions distinctes qu'elle invoque. Il est douteux que la motivation fournie soit suffisante au regard de l' art. 42 al. 1 LTF . Quoi qu'il en soit, vu le sort du recours, cette question peut rester ouverte.</w:t>
      </w:r>
    </w:p>
    <w:p>
      <w:r>
        <w:rPr>
          <w:b/>
        </w:rPr>
        <w:t>E. 2</w:t>
      </w:r>
    </w:p>
    <w:p>
      <w:r>
        <w:t>La recourante invoque une violation des art. 158 CP et 23 LCD.</w:t>
      </w:r>
    </w:p>
    <w:p>
      <w:r>
        <w:rPr>
          <w:b/>
        </w:rPr>
        <w:t>E. 2.1</w:t>
      </w:r>
    </w:p>
    <w:p>
      <w:r>
        <w:t>La cour cantonale a retenu qu'il ne pouvait pas être inféré des circonstances que l'intimé aurait sciemment orchestré avec A.________ SA le démarchage des sociétés clientes durant son délai de congé, mais bien que ces dernières avaient elles-mêmes choisi de le suivre en raison de la relation de confiance nouée entre eux et que les démarches y relatives avaient été accélérées en raison de la mise à pied séance tenante de l'intimé par la recourante. Les sociétés clientes avaient simplement usé de leur droit de ne pas se voir imposer un administrateur qui ne leur convenait pas et de mettre fin en tout temps au mandat qui les liait avec la recourante, conformément au contrat passé. L'incitation à la rupture des relations d'affaires par l'intimé n'était pas établie. Certaines sociétés avaient déjà suivi l'intimé lorsqu'il avait rejoint la recourante, ce dont celle-ci avait profité. La cour cantonale a nié que l'intimé ait délibérément lésé les intérêts pécuniaires de la recourante. Elle a exclu que puisse être réalisée tant la qualification de gestion déloyale ( art. 158 CP ) que celle de concurrence déloyale ( art. 23 LCD en relation avec l' art. 4 let. a LCD ).</w:t>
      </w:r>
    </w:p>
    <w:p>
      <w:r>
        <w:t>En s'exprimant en particulier sur l'intention de l'intimé et sur les motifs qui ont guidé les sociétés clientes à quitter la recourante, la cour cantonale a procédé à des constatations factuelles.</w:t>
      </w:r>
    </w:p>
    <w:p>
      <w:r>
        <w:rPr>
          <w:b/>
        </w:rPr>
        <w:t>E. 2.2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Les critiques de nature appellatoire sont irrecevables ( ATF 137 II 353 consid. 5.1 p. 356).</w:t>
      </w:r>
    </w:p>
    <w:p>
      <w:r>
        <w:rPr>
          <w:b/>
        </w:rPr>
        <w:t>E. 2.3</w:t>
      </w:r>
    </w:p>
    <w:p>
      <w:r>
        <w:t>La recourante se borne à un libre exposé du contenu du dossier. Elle oppose sa vision à celle retenue par la cour cantonale quant à l'intention de l'intimé, considérant que celui-ci a agi de manière planifiée et déterminée, tant pour ce qui concerne l'infraction de gestion déloyale que de concurrence déloyale. L'entier de l'argumentation présentée procède d'une démarche purement appellatoire, qui est irrecevable.</w:t>
      </w:r>
    </w:p>
    <w:p>
      <w:r>
        <w:t>La recourante se prévaut aussi d'une violation du principe in dubio pro duriore mais se limite à cet égard à des affirmations à caractère général, qui ne respectent pas les exigences minimales de motivation de l' art. 42 al. 2 LTF .</w:t>
      </w:r>
    </w:p>
    <w:p>
      <w:r>
        <w:t>Pour le surplus, la recourante n'articule aucun grief recevable tiré de l'application de l' art. 158 CP ou de l' art. 23 LCD . Son argumentation est irrecevable. Au demeurant, la cour cantonale n'a pas mésusé de son pouvoir d'appréciation en considérant que le litige ne sortait pas d'un cadre civil et relevait de la juridiction prud'homale qui était parallèlement saisie.</w:t>
      </w:r>
    </w:p>
    <w:p>
      <w:r>
        <w:rPr>
          <w:b/>
        </w:rPr>
        <w:t>E. 3</w:t>
      </w:r>
    </w:p>
    <w:p>
      <w:r>
        <w:t>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