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6B_912/2017 vom 4. Oktober 2017</w:t>
      </w:r>
    </w:p>
    <w:p>
      <w:r>
        <w:t>Bundesgericht, 2017-10-04, FR</w:t>
      </w:r>
    </w:p>
    <w:p>
      <w:r>
        <w:rPr>
          <w:b/>
        </w:rPr>
        <w:t xml:space="preserve">Quelle: </w:t>
      </w:r>
      <w:r>
        <w:t>https://mcp.opencaselaw.ch/entscheid/bger_6B_912_2017</w:t>
      </w:r>
    </w:p>
    <w:p>
      <w:r>
        <w:t>FR: TF 6B_912/2017 du 4 octobre 2017</w:t>
      </w:r>
    </w:p>
    <w:p>
      <w:r>
        <w:t>IT: TF 6B_912/2017 del 4 ottobre 2017</w:t>
      </w:r>
    </w:p>
    <w:p>
      <w:pPr>
        <w:pStyle w:val="Heading2"/>
      </w:pPr>
      <w:r>
        <w:t>Erwägungen</w:t>
      </w:r>
    </w:p>
    <w:p>
      <w:r>
        <w:rPr>
          <w:b/>
        </w:rPr>
        <w:t>E. 1</w:t>
      </w:r>
    </w:p>
    <w:p>
      <w:r>
        <w:t>Le recourant considère que sa condamnation à une peine privative de liberté contrevient à la Directive 2008/115/CE du Parlement européen et du Conseil du 16 septembre 2008 relative aux normes et procédures communes applicables dans les États membres au retour des ressortissants de pays tiers en séjour irrégulier (ci-après: Directive sur le retour).</w:t>
      </w:r>
    </w:p>
    <w:p>
      <w:r>
        <w:rPr>
          <w:b/>
        </w:rPr>
        <w:t>E. 1.1</w:t>
      </w:r>
    </w:p>
    <w:p>
      <w:r>
        <w:t>Par arrêté fédéral du 18 juin 2010, l'Assemblée fédérale a approuvé la reprise de la Directive sur le retour en tant que développement de l'acquis Schengen (RO 2010 5925). Les juridictions suisses doivent ainsi faire leur possible pour mettre en oeuvre la jurisprudence européenne relative à cette directive (arrêt 6B_366/2016 du 15 mai 2017 consid. 2.1 destiné à la publication et références citées).</w:t>
      </w:r>
    </w:p>
    <w:p>
      <w:r>
        <w:t>Le Tribunal fédéral a déduit de la jurisprudence de la Cour de justice de l'Union européenne que la Directive sur le retour n'est pas applicable aux ressortissants des pays tiers qui ont commis, outre le séjour irrégulier, un ou plusieurs autres délits en dehors du droit pénal sur les étrangers (arrêt 6B_366/2016 du 15 mai 2017 consid. 2.4 destiné à la publication). En outre, en cas de concours d'infractions aux art. 115 al. 1 let. b et 119 LEtr, le Tribunal fédéral a retenu que lorsque la décision d'interdiction de périmètre est prononcée en raison du comportement de l'intéressé troublant ou menaçant la sécurité et l'ordre publics (art. 74 al. 1 let. a LEtr; notamment le trafic illégal de stupéfiants), la Directive sur le retour ne trouve pas non plus application (arrêt 6B_366/2016 du 15 mai 2017 consid. 2.5 destiné à la publication et arrêt 6B_1078/2016 du 29 août 2017 consid. 2.1 et références citées).</w:t>
      </w:r>
    </w:p>
    <w:p>
      <w:r>
        <w:rPr>
          <w:b/>
        </w:rPr>
        <w:t>E. 1.2</w:t>
      </w:r>
    </w:p>
    <w:p>
      <w:r>
        <w:t>Hormis les infractions relatives à la LEtr, le recourant ne conteste plus la matérialité des autres infractions qui ont fondé sa condamnation. Il se limite à contester la quotité de la peine prononcée en lien avec sa condamnation pour infractions aux art. 115 et 119 LEtr au motif que cette condamnation n'est pas compatible avec la Directive sur le retour. Sa critique est dénuée de tout fondement. D'une part, il omet de considérer que les procédures pénales qui ont abouti à sa condamnation ont été jointes de sorte que sa condamnation qui repose sur le concours des diverses infractions comprenant celles relatives à la LEtr ont pour conséquence que la Directive sur le retour ne trouve pas application, conformément à la jurisprudence citée ci-avant. D'autre part, même si l'on devait considérer que le recourant conteste implicitement la jonction des procédures et estime que les infractions à la LEtr auraient dû être jugées isolément, son grief n'en serait pas moins rejeté. Dans le cas d'espèce, l'interdiction de périmètre n'est pas liée à la procédure de renvoi visée par la Directive mais à son activité délictueuse de trafic illégal de stupéfiants. Par conséquent, le prononcé d'une sanction pour non-respect d'une interdiction de pénétrer dans une région déterminée (art. 119 al. 1 LEtr), fondée sur le comportement du recourant troublant et menaçant la sécurité et l'ordre publics (art. 74 al. 1 let. a LEtr), n'est à nouveau pas contraire à la Directive sur le retour. Il est renvoyé pour le surplus aux développements des arrêts cités ci-avant (arrêt 6B_1078/2016 du 29 août 2017 et arrêt 6B_366/2016 du 15 mai 2017 destiné à la publication).</w:t>
      </w:r>
    </w:p>
    <w:p>
      <w:r>
        <w:rPr>
          <w:b/>
        </w:rPr>
        <w:t>E. 2</w:t>
      </w:r>
    </w:p>
    <w:p>
      <w:r>
        <w:t>Il s'ensuit que le recours doit être rejeté. Comme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