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912/2014 vom 23. September 2014</w:t>
      </w:r>
    </w:p>
    <w:p>
      <w:r>
        <w:t>Bundesgericht, 2014-09-23, DE</w:t>
      </w:r>
    </w:p>
    <w:p>
      <w:r>
        <w:rPr>
          <w:b/>
        </w:rPr>
        <w:t xml:space="preserve">Quelle: </w:t>
      </w:r>
      <w:r>
        <w:t>https://mcp.opencaselaw.ch/entscheid/bger_6B_912_2014</w:t>
      </w:r>
    </w:p>
    <w:p>
      <w:r>
        <w:t>FR: TF 6B 912/2014 du 23 septembre 2014</w:t>
      </w:r>
    </w:p>
    <w:p>
      <w:r>
        <w:t>IT: TF 6B 912/2014 del 23 settembre 2014</w:t>
      </w:r>
    </w:p>
    <w:p>
      <w:pPr>
        <w:pStyle w:val="Heading2"/>
      </w:pPr>
      <w:r>
        <w:t>Regeste</w:t>
      </w:r>
    </w:p>
    <w:p>
      <w:r>
        <w:t>Unbekannt | Strafrecht (allgemein)</w:t>
      </w:r>
    </w:p>
    <w:p>
      <w:pPr>
        <w:pStyle w:val="Heading2"/>
      </w:pPr>
      <w:r>
        <w:t>Erwägungen</w:t>
      </w:r>
    </w:p>
    <w:p>
      <w:r>
        <w:rPr>
          <w:b/>
        </w:rPr>
        <w:t>E. 1</w:t>
      </w:r>
    </w:p>
    <w:p>
      <w:r>
        <w:t>Der Beschwerdeführer wurde am 7. August 2014 gestützt auf Art. 42 Abs. 5 BGG aufgefordert, den fehlenden angefochtenen Entscheid bis zum 29. August 2014 nachzureichen, ansonsten die Rechtsschrift unbeachtet bleibe. Innert Frist hat er sich nicht mehr gemeldet. Auf die Beschwerde ist androhungsgemäss im Verfahren nach Art. 108 BGG nicht einzutreten.</w:t>
      </w:r>
    </w:p>
    <w:p>
      <w:r>
        <w:rPr>
          <w:b/>
        </w:rPr>
        <w:t>E. 2</w:t>
      </w:r>
    </w:p>
    <w:p>
      <w:r>
        <w:t>Auf eine Kostenauflage kann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