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6B_912/2010 vom 26. November 2010</w:t>
      </w:r>
    </w:p>
    <w:p>
      <w:r>
        <w:t>Bundesgericht, 2010-11-26, DE</w:t>
      </w:r>
    </w:p>
    <w:p>
      <w:r>
        <w:rPr>
          <w:b/>
        </w:rPr>
        <w:t xml:space="preserve">Quelle: </w:t>
      </w:r>
      <w:r>
        <w:t>https://mcp.opencaselaw.ch/entscheid/bger_6B_912_2010</w:t>
      </w:r>
    </w:p>
    <w:p>
      <w:r>
        <w:t>FR: TF 6B_912/2010 du 26 novembre 2010</w:t>
      </w:r>
    </w:p>
    <w:p>
      <w:r>
        <w:t>IT: TF 6B_912/2010 del 26 novembre 2010</w:t>
      </w:r>
    </w:p>
    <w:p>
      <w:pPr>
        <w:pStyle w:val="Heading2"/>
      </w:pPr>
      <w:r>
        <w:t>Erwägungen</w:t>
      </w:r>
    </w:p>
    <w:p>
      <w:r>
        <w:rPr>
          <w:b/>
        </w:rPr>
        <w:t>E. 1</w:t>
      </w:r>
    </w:p>
    <w:p>
      <w:r>
        <w:t>Der Beschwerdeführer rügt, die Vorinstanz verletze Art. 86 Abs. 1 StGB und, weil sie "die beiden Prognosen nicht klar gegeneinander abwägt", den Anspruch von Art. 29 BV .</w:t>
      </w:r>
    </w:p>
    <w:p>
      <w:r>
        <w:rPr>
          <w:b/>
        </w:rPr>
        <w:t>E. 2</w:t>
      </w:r>
    </w:p>
    <w:p>
      <w:r>
        <w:t>Die Vorinstanz hält dem Beschwerdeführer in der Gesamtwürdigung ein gutes Vollzugsverhalten zugute. Das sei aber nur ein Kriterium. Die mehrfachen Vorstrafen, der Widerruf des bedingten Strafvollzugs bzw. der bedingten Entlassung und die Einreisesperre hätten ihn nicht abgehalten, einschlägig zu delinquieren und rückfällig zu werden.</w:t>
      </w:r>
    </w:p>
    <w:p>
      <w:r>
        <w:t>Es lägen keine Umstände vor, die auf eine neuere Einstellung zu seinen Taten bzw. eine Besserung schliessen liessen, weshalb seinen gegenteiligen Äusserungen bei der Anhörung wenig Gewicht zukomme. Auch wenn die Uneinsichtigkeit nicht ohne weiteres gegen eine bedingte Entlassung spreche ( BGE 124 IV 204 E. 5b/ee), stelle die neuere Einstellung zu den Straftaten doch einen zu berücksichtigenden Faktor dar. Er leugne und bagatellisiere nach wie vor wesentliche Elemente seines deliktischen Handelns (angefochtenes Urteil S. 10). Weiter habe ihn die Freundin schon bisher nicht von der Delinquenz abhalten können, die behauptete zugesicherte Arbeitsstelle sei fraglich, und er habe bereits früher über ein intaktes familiäres Beziehungsnetz verfügt. Die verbesserte wirtschaftliche Situation in Albanien und seine Fremdsprachenkenntnisse könnten wohl günstig wirken (angefochtenes Urteil S. 11 und 12). Doch könne nicht davon ausgegangen werden, dass die Rückfallgefahr dadurch merklich sinken würde. Auch das bedrohte Rechtsgut spreche für eine restriktivere Beurteilung.</w:t>
      </w:r>
    </w:p>
    <w:p>
      <w:r>
        <w:rPr>
          <w:b/>
        </w:rPr>
        <w:t>E. 3</w:t>
      </w:r>
    </w:p>
    <w:p>
      <w:r>
        <w:t>Gemäss Art. 86 Abs. 1 StGB ist der Gefangene nach Verbüssung von zwei Dritteln der Strafe bedingt zu entlassen, wenn es das Verhalten im Strafvollzug rechtfertigt und nicht anzunehmen ist, er werde weitere Verbrechen oder Vergehen begehen. Die bedingte Entlassung stellt die Regel und die Verweigerung die Ausnahme dar ( BGE 133 IV 201 E. 2.2). Dem spezialpräventiven Zweck der bedingten Entlassung als vierte Stufe des Strafvollzugs stehen die Schutzbedürfnisse der Allgemeinheit gegenüber, welchen um so höheres Gewicht beizumessen ist, je hochwertiger die gefährdeten Rechtsgüter sind. Prognostisch relevant ist vor allem die neuere Einstellung zu den Taten. Dabei steht der zuständigen Behörde ein Ermessen zu ( BGE 133 IV 201 E. 2.3).</w:t>
      </w:r>
    </w:p>
    <w:p>
      <w:r>
        <w:t>Es ist eine Individualprognose vorzunehmen und im Sinne einer Differenzialprognose zu fragen, ob die Gefahr einer Begehung weiterer Straftaten bei einer bedingten Entlassung oder bei einer Vollverbüssung der Strafe höher einzuschätzen ist ( BGE 124 IV 193 E. 5b/bb). Die Vorinstanz geht zutreffend von diesen Kriterien aus und wägt die Prognosen hinreichend klar gegeneinander ab. Eine Verletzung von Art. 29 BV ist nicht ersichtlich.</w:t>
      </w:r>
    </w:p>
    <w:p>
      <w:r>
        <w:t>Es ist offenkundig (oben Bst. A), dass sich der Beschwerdeführer von den bisherigen Strafverfahren in keiner Weise beeindrucken liess. Seine Haltung änderte sich auch durch den zwischenzeitlichen Aufenthalt in seiner Heimat nicht. Vielmehr ist eine Steigerung seines kriminellen Willens feststellbar. Ohne Einsicht ist eine Verhaltensänderung nicht zu erwarten. Dieser Einsicht kommt zentrale Bedeutung zu (vgl. Urteil 6B_354/2010 vom 26. Juli 2010 E. 7.2 mit Hinweisen). Daran fehlt es nach den verbindlichen ( Art. 105 Abs. 1 BGG ) vorinstanzlichen Feststellungen. Die Einwände des Beschwerdeführers sind unbegründet. Er wiederholt seine bei der Vorinstanz erhobenen Einwände, mit denen die Vorinstanz sich hinreichend auseinander gesetzt hat. Es kann auf das angefochtene Urteil verwiesen werden ( Art. 109 Abs. 3 BGG ). Die Vorinstanz verletzt kein Bundesrecht.</w:t>
      </w:r>
    </w:p>
    <w:p>
      <w:r>
        <w:rPr>
          <w:b/>
        </w:rPr>
        <w:t>E. 4</w:t>
      </w:r>
    </w:p>
    <w:p>
      <w:r>
        <w:t>Die Beschwerde ist abzuweisen, soweit darauf einzutreten ist. Das Gesuch um unentgeltliche Rechtspflege ( Art. 64 Abs. 1 und 2 BGG ) ist wegen Aussichtslosigkeit des Rechtsbegehrens abzuweisen. Entsprechend hat der Beschwerdeführer die Kosten vor Bundesgericht zu tragen. Seiner finanziellen Lage ist mit herabgesetzten Gerichtskosten Rechnung zu tragen (Art.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