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6B_911/2025 vom 12. Dezember 2025</w:t>
      </w:r>
    </w:p>
    <w:p>
      <w:r>
        <w:t>Bundesgericht, 2025-12-12, FR</w:t>
      </w:r>
    </w:p>
    <w:p>
      <w:r>
        <w:rPr>
          <w:b/>
        </w:rPr>
        <w:t xml:space="preserve">Quelle: </w:t>
      </w:r>
      <w:r>
        <w:t>https://mcp.opencaselaw.ch/entscheid/bger_6B_911_2025</w:t>
      </w:r>
    </w:p>
    <w:p>
      <w:r>
        <w:t>FR: TF 6B_911/2025 du 12 décembre 2025</w:t>
      </w:r>
    </w:p>
    <w:p>
      <w:r>
        <w:t>IT: TF 6B_911/2025 del 12 dicembre 2025</w:t>
      </w:r>
    </w:p>
    <w:p>
      <w:pPr>
        <w:pStyle w:val="Heading2"/>
      </w:pPr>
      <w:r>
        <w:t>Erwägungen</w:t>
      </w:r>
    </w:p>
    <w:p>
      <w:r>
        <w:rPr>
          <w:b/>
        </w:rPr>
        <w:t>E. 1</w:t>
      </w:r>
    </w:p>
    <w:p>
      <w:r>
        <w:t>En résumé, invoquant le principe de la bonne foi en procédure ( art. 5 al. 3 Cst. et art. 3 CPP ), la violation du principe de la proportionnalité ( art. 5 al. 2 Cst. ) et celle de son droit d'être entendu dans sa composante du droit à une décision suffisamment motivée ( art. 29 al. 2 Cst. ), le recourant reproche à la cour cantonale d'avoir "dépassé l'objet du litige" et omis d'examiner l'éventualité de l'exempter des frais.</w:t>
      </w:r>
    </w:p>
    <w:p>
      <w:r>
        <w:rPr>
          <w:b/>
        </w:rPr>
        <w:t>E. 2</w:t>
      </w:r>
    </w:p>
    <w:p>
      <w:r>
        <w:t>Conformément à l' art. 428 al. 1 CPP (applicable à la révision conformément à l' art. 416 CPP ), les frais de la procédure de recours sont mis à la charge des parties dans la mesure où elles ont obtenu gain de cause ou succombé. La partie dont le recours est irrecevable ou qui retire le recours est également considérée avoir succombé.</w:t>
      </w:r>
    </w:p>
    <w:p>
      <w:r>
        <w:t>Pour une partie de la doctrine, le recours devenu sans objet doit être assimilé à celui retiré, sous réserve de l'hypothèse d'une irrecevabilité consécutive à un changement de jurisprudence (JOËLLE FONTANA,</w:t>
      </w:r>
    </w:p>
    <w:p>
      <w:r>
        <w:t>in Commentaire romand, Code de procédure pénale suisse, 2e éd. 2019, n o 1</w:t>
      </w:r>
    </w:p>
    <w:p>
      <w:r>
        <w:t>ad</w:t>
      </w:r>
    </w:p>
    <w:p>
      <w:r>
        <w:t>art. 428 CPP ). Pour d'autres auteurs, il faudrait distinguer selon que le recours était d'emblée privé d'objet ou si cela n'est advenu que</w:t>
      </w:r>
    </w:p>
    <w:p>
      <w:r>
        <w:t>pendente lite et, dans cette dernière hypothèse, déterminer sommairement s'il présentait des chances de succès (THOMAS DOMEISEN,</w:t>
      </w:r>
    </w:p>
    <w:p>
      <w:r>
        <w:t>in Basler Kommentar Strafprozessordnung, 3e éd. 2023, n o 14</w:t>
      </w:r>
    </w:p>
    <w:p>
      <w:r>
        <w:t>ad</w:t>
      </w:r>
    </w:p>
    <w:p>
      <w:r>
        <w:t>art. 428 CPP ; SCHMID/JOSITSCH, StPO Praxiskommentar, 4e éd. 2023, n o 4</w:t>
      </w:r>
    </w:p>
    <w:p>
      <w:r>
        <w:t>ad</w:t>
      </w:r>
    </w:p>
    <w:p>
      <w:r>
        <w:t>art. 428 CPP ; cf. aussi, en application de la LTF: arrêt 6B_526/2012 du 18 décembre 2012 consid. 3). Il n'est pas nécessaire de trancher cette question en l'espèce.</w:t>
      </w:r>
    </w:p>
    <w:p>
      <w:r>
        <w:rPr>
          <w:b/>
        </w:rPr>
        <w:t>E. 3</w:t>
      </w:r>
    </w:p>
    <w:p>
      <w:r>
        <w:t>Il est constant que le recourant a déposé deux demandes de révision. Interpellé, il a expliqué que la première était "sans objet" parce qu' "elle ne correspondait plus à la démarche de procédure qu'il souhaitait poursuivre". Le recourant ne tente pas de démontrer que sa première demande de révision serait devenue sans objet pour un autre motif que celui avancé. Sa réponse ne peut avoir d'autre sens que de déclarer le retrait de la première demande. La décision entreprise est conforme au droit fédéral dans son résultat, si ce n'est dans ses motifs. Au regard du critère retenu par l' art. 428 al. 1 CP , l'existence d'une éventuelle faute du recourant n'est pas déterminante. Les griefs déduits d'une prétendue violation du principe de la bonne foi en procédure, de celle du droit d'être entendu du recourant et du principe de la proportionnalité sont manifestement dénués de tout fondement. À cet égard, le recourant ne discute pas l'application du tarif cantonal des frais et ne soulève en particulier aucun grief d'arbitraire à cet égard. Il suffirait, de toute manière, de constater que l'émolument judiciaire de 250 fr. se situe non seulement à l'intérieur de l'échelle des frais prévue par le droit cantonal, mais même dans ses tout premiers degrés, ce qui suffirait à exclure tout abus ou excès du pouvoir d'appréciation, à plus forte raison l'arbitraire. Pour le surplus, le grief relatif à un prétendu "dépassement de l'objet du litige et motivation défensive"est largement incompréhensible et, compte tenu de la modicité des frais en cause, on ne voit pas que l'autorité cantonale aurait violé le droit fédéral en n'examinant pas d'office la possibilité d'une remise de ces frais, qui n'apparaissent ni comme une peine déguisée ni comme un obstacle insurmontable à la réinsertion ou une atteinte sérieuse à l'avenir économique du recourant (JOËLLE FONTANA,</w:t>
      </w:r>
    </w:p>
    <w:p>
      <w:r>
        <w:t>in Commentaire romand, Code de procédure pénale suisse, 2e éd. 2019, n o 1a</w:t>
      </w:r>
    </w:p>
    <w:p>
      <w:r>
        <w:t>ad</w:t>
      </w:r>
    </w:p>
    <w:p>
      <w:r>
        <w:t>art. 425 CPP ; THOMAS DOMEISEN,</w:t>
      </w:r>
    </w:p>
    <w:p>
      <w:r>
        <w:t>in Basler Kommentar Strafprozessordnung, 3e éd. 2023, n os 3 et 4</w:t>
      </w:r>
    </w:p>
    <w:p>
      <w:r>
        <w:t>ad</w:t>
      </w:r>
    </w:p>
    <w:p>
      <w:r>
        <w:t>art. 425 CPP ).</w:t>
      </w:r>
    </w:p>
    <w:p>
      <w:r>
        <w:rPr>
          <w:b/>
        </w:rPr>
        <w:t>E. 4</w:t>
      </w:r>
    </w:p>
    <w:p>
      <w:r>
        <w:t>On peut donner acte à l'intéressé que la décision entreprise n'expose pas précisément les principes qui ont présidé à la fixation des frais. Pour souhaitable qu'elle eût été, une motivation un peu plus explicite, au regard des principes applicables, ne s'imposait toutefois pas nécessairement. Compte tenu de la modicité des frais en question et dès lors qu'il ne s'agissait que de l'application d'une règle de droit élémentaire portant sur une question annexe, une motivation implicite pouvait déjà suffire ( ATF 141 V 557 consid. 3.2.1). Au demeurant, le recourant ne discute pas la quotité (de toute manière faible) des frais (v.</w:t>
      </w:r>
    </w:p>
    <w:p>
      <w:r>
        <w:t>supra consid. 3). La question ne porte donc que sur le principe de leur imputation, soit sur une pure question de droit fédéral, mettant en jeu un unique critère (le gain de cause). La cour de céans jouissant d'un plein pouvoir d'examen sur une telle question, les considérants qui précèdent obvieraient à toute insuffisance de la motivation de la décision cantonale ( ATF 135 I 279 consid. 2.6.1; 133 I 201 consid. 2.2; 118 Ib 111 consid. 4b; 116 Ia 94 consid. 2).</w:t>
      </w:r>
    </w:p>
    <w:p>
      <w:r>
        <w:rPr>
          <w:b/>
        </w:rPr>
        <w:t>E. 5</w:t>
      </w:r>
    </w:p>
    <w:p>
      <w:r>
        <w:t>Le recours doit être rejeté. Il convient de statuer exceptionnellement sans frais, eu égard à la faiblesse de l'enjeu (art. 65 al. 2 et 66 al. 1 LTF). La demande d'assistance judiciaire est sans 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